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Postma Robert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ALAUNOS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501 E. LAS OLAS BLVD.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LAUDERDALE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Alaunos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TCRT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13"/>
        <w:gridCol w:w="939"/>
        <w:gridCol w:w="806"/>
        <w:gridCol w:w="623"/>
        <w:gridCol w:w="347"/>
        <w:gridCol w:w="876"/>
        <w:gridCol w:w="428"/>
        <w:gridCol w:w="661"/>
        <w:gridCol w:w="1135"/>
        <w:gridCol w:w="983"/>
        <w:gridCol w:w="139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2.59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50,146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IRA</w:t>
            </w:r>
          </w:p>
        </w:tc>
      </w:tr>
      <w:tr>
        <w:trPr/>
        <w:tc>
          <w:tcPr>
            <w:tcW w:w="20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62,416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WaterMill Asset Management Corp.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in lieu of board fees.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directly held by WaterMill Asset Management Corp. ("WaterMill"). The Reporting Person serves as the principal of WaterMill.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Postma, Robert W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7847" TargetMode="External"/><Relationship Id="rId5" Type="http://schemas.openxmlformats.org/officeDocument/2006/relationships/hyperlink" Target="http://www.sec.gov/cgi-bin/browse-edgar?action=getcompany&amp;CIK=00011074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3319</Characters>
  <CharactersWithSpaces>3867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