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0"/>
        </w:rPr>
      </w:pPr>
      <w:bookmarkStart w:id="0" w:name="tcrt-20260918.htm"/>
      <w:bookmarkStart w:id="1" w:name="kstcrt20260918"/>
      <w:bookmarkEnd w:id="0"/>
      <w:bookmarkEnd w:id="1"/>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FORM 8-K</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jc w:val="center"/>
        <w:rPr>
          <w:rFonts w:ascii="Times New Roman" w:hAnsi="Times New Roman"/>
          <w:color w:val="000000"/>
          <w:sz w:val="20"/>
        </w:rPr>
      </w:pPr>
      <w:r>
        <w:rPr>
          <w:rFonts w:ascii="Times New Roman" w:hAnsi="Times New Roman"/>
          <w:color w:val="000000"/>
          <w:sz w:val="20"/>
        </w:rPr>
        <w:t>Date of Report (Date of earliest event reported): September 18, 2026</w:t>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charter)</w:t>
      </w:r>
    </w:p>
    <w:tbl>
      <w:tblPr>
        <w:tblW w:w="6461" w:type="dxa"/>
        <w:jc w:val="left"/>
        <w:tblInd w:w="0" w:type="dxa"/>
        <w:tblLayout w:type="fixed"/>
        <w:tblCellMar>
          <w:top w:w="28" w:type="dxa"/>
          <w:left w:w="28" w:type="dxa"/>
          <w:bottom w:w="28" w:type="dxa"/>
          <w:right w:w="28" w:type="dxa"/>
        </w:tblCellMar>
      </w:tblPr>
      <w:tblGrid>
        <w:gridCol w:w="2251"/>
        <w:gridCol w:w="109"/>
        <w:gridCol w:w="2341"/>
        <w:gridCol w:w="109"/>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001-33038</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84-1475642</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b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(Commission File Number)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bl>
    <w:p>
      <w:pPr>
        <w:pStyle w:val="TextBody"/>
        <w:bidi w:val="0"/>
        <w:jc w:val="center"/>
        <w:rPr>
          <w:rFonts w:ascii="Times New Roman" w:hAnsi="Times New Roman"/>
          <w:b/>
          <w:color w:val="000000"/>
          <w:sz w:val="20"/>
        </w:rPr>
      </w:pPr>
      <w:r>
        <w:rPr>
          <w:rFonts w:ascii="Times New Roman" w:hAnsi="Times New Roman"/>
          <w:b/>
          <w:color w:val="000000"/>
          <w:sz w:val="20"/>
        </w:rPr>
        <w:t>501 E. Las Olas Blvd., Suite 300</w:t>
      </w:r>
    </w:p>
    <w:p>
      <w:pPr>
        <w:pStyle w:val="TextBody"/>
        <w:bidi w:val="0"/>
        <w:jc w:val="center"/>
        <w:rPr>
          <w:rFonts w:ascii="Times New Roman" w:hAnsi="Times New Roman"/>
          <w:sz w:val="20"/>
        </w:rPr>
      </w:pPr>
      <w:r>
        <w:rPr>
          <w:rFonts w:ascii="Times New Roman" w:hAnsi="Times New Roman"/>
          <w:b/>
          <w:color w:val="000000"/>
          <w:sz w:val="20"/>
        </w:rPr>
        <w:t>Fort Lauderdale, FL</w:t>
      </w:r>
      <w:r>
        <w:rPr>
          <w:rFonts w:ascii="Times New Roman" w:hAnsi="Times New Roman"/>
          <w:color w:val="000000"/>
          <w:sz w:val="20"/>
        </w:rPr>
        <w:t xml:space="preserve"> </w:t>
      </w:r>
      <w:r>
        <w:rPr>
          <w:rFonts w:ascii="Times New Roman" w:hAnsi="Times New Roman"/>
          <w:b/>
          <w:color w:val="000000"/>
          <w:sz w:val="20"/>
        </w:rPr>
        <w:t>33301</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jc w:val="center"/>
        <w:rPr>
          <w:rFonts w:ascii="Times New Roman" w:hAnsi="Times New Roman"/>
          <w:b/>
          <w:color w:val="000000"/>
          <w:sz w:val="20"/>
        </w:rPr>
      </w:pPr>
      <w:r>
        <w:rPr>
          <w:rFonts w:ascii="Times New Roman" w:hAnsi="Times New Roman"/>
          <w:b/>
          <w:color w:val="000000"/>
          <w:sz w:val="20"/>
        </w:rPr>
        <w:t>(346) 355-4099</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jc w:val="both"/>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color w:val="000000"/>
          <w:sz w:val="20"/>
          <w:u w:val="single"/>
        </w:rPr>
        <w:t>see</w:t>
      </w:r>
      <w:r>
        <w:rPr>
          <w:rFonts w:ascii="Times New Roman" w:hAnsi="Times New Roman"/>
          <w:color w:val="000000"/>
          <w:sz w:val="20"/>
        </w:rPr>
        <w:t xml:space="preserve"> General Instruction A.2. below):</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both"/>
        <w:rPr>
          <w:rFonts w:ascii="Times New Roman" w:hAnsi="Times New Roman"/>
          <w:color w:val="000000"/>
          <w:sz w:val="20"/>
        </w:rPr>
      </w:pPr>
      <w:r>
        <w:rPr>
          <w:rFonts w:ascii="Times New Roman" w:hAnsi="Times New Roman"/>
          <w:color w:val="000000"/>
          <w:sz w:val="20"/>
        </w:rPr>
        <w:t>Securities registered pursuant to Section 12(b) of the Act:</w:t>
      </w:r>
    </w:p>
    <w:tbl>
      <w:tblPr>
        <w:tblW w:w="8606" w:type="dxa"/>
        <w:jc w:val="left"/>
        <w:tblInd w:w="0" w:type="dxa"/>
        <w:tblLayout w:type="fixed"/>
        <w:tblCellMar>
          <w:top w:w="28" w:type="dxa"/>
          <w:left w:w="28" w:type="dxa"/>
          <w:bottom w:w="28" w:type="dxa"/>
          <w:right w:w="28" w:type="dxa"/>
        </w:tblCellMar>
      </w:tblPr>
      <w:tblGrid>
        <w:gridCol w:w="1621"/>
        <w:gridCol w:w="109"/>
        <w:gridCol w:w="1696"/>
        <w:gridCol w:w="109"/>
        <w:gridCol w:w="5071"/>
      </w:tblGrid>
      <w:tr>
        <w:trPr/>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7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16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TCRT</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 (The Nasdaq Capital Market)</w:t>
            </w:r>
          </w:p>
        </w:tc>
      </w:tr>
    </w:tbl>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 240.12b-2 of this chapter).</w:t>
      </w:r>
    </w:p>
    <w:p>
      <w:pPr>
        <w:pStyle w:val="TextBody"/>
        <w:bidi w:val="0"/>
        <w:jc w:val="both"/>
        <w:rPr>
          <w:rFonts w:ascii="Times New Roman" w:hAnsi="Times New Roman"/>
          <w:color w:val="000000"/>
          <w:sz w:val="20"/>
        </w:rPr>
      </w:pPr>
      <w:r>
        <w:rPr>
          <w:rFonts w:ascii="Times New Roman" w:hAnsi="Times New Roman"/>
          <w:color w:val="000000"/>
          <w:sz w:val="20"/>
        </w:rPr>
        <w:t>Emerging growth company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mart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both"/>
        <w:rPr>
          <w:rFonts w:ascii="Times New Roman" w:hAnsi="Times New Roman"/>
          <w:color w:val="000000"/>
          <w:sz w:val="20"/>
        </w:rPr>
      </w:pPr>
      <w:r>
        <w:rPr>
          <w:rFonts w:ascii="Times New Roman" w:hAnsi="Times New Roman"/>
          <w:color w:val="000000"/>
          <w:sz w:val="20"/>
        </w:rPr>
        <w:t>On September 18, 2026, Alaunos Therapeutics, Inc. (the “Company”) entered into a securities purchase agreement (the “Purchase Agreement”) with the accredited investors named on the signature pages thereto (the “Purchasers”), pursuant to which the Company agreed to sell and issue, in a registered direct offering (the “Offering”), 380,469 shares (the “Shares”) of its common stock, par value $0.001 per share (“Common Stock”), at a purchase price of $1.46 per share and 386,654 pre-funded warrants (the “Pre-Funded Warrants”) to purchase shares of Common Stock, at a purchase price of $1.459 per Pre-Funded Warrant. The Purchase Agreement contains customary representations and warranties and agreements of the Company and the Purchasers and customary indemnification rights and obligations of the parties.</w:t>
      </w:r>
    </w:p>
    <w:p>
      <w:pPr>
        <w:pStyle w:val="TextBody"/>
        <w:bidi w:val="0"/>
        <w:jc w:val="both"/>
        <w:rPr>
          <w:rFonts w:ascii="Times New Roman" w:hAnsi="Times New Roman"/>
          <w:color w:val="000000"/>
          <w:sz w:val="20"/>
        </w:rPr>
      </w:pPr>
      <w:r>
        <w:rPr>
          <w:rFonts w:ascii="Times New Roman" w:hAnsi="Times New Roman"/>
          <w:color w:val="000000"/>
          <w:sz w:val="20"/>
        </w:rPr>
        <w:t>The Offering was made pursuant to that certain Registration Statement on Form S-3, as amended (File No. 333-289748), which was filed on November 7, 2025, and became effective on November 27, 2025, including the Prospectus contained therein and a prospectus supplement dated September 18, 2026 filed with the Securities and Exchange Commission on September 21, 2026.</w:t>
      </w:r>
    </w:p>
    <w:p>
      <w:pPr>
        <w:pStyle w:val="TextBody"/>
        <w:bidi w:val="0"/>
        <w:jc w:val="both"/>
        <w:rPr>
          <w:rFonts w:ascii="Times New Roman" w:hAnsi="Times New Roman"/>
          <w:color w:val="000000"/>
          <w:sz w:val="20"/>
        </w:rPr>
      </w:pPr>
      <w:r>
        <w:rPr>
          <w:rFonts w:ascii="Times New Roman" w:hAnsi="Times New Roman"/>
          <w:color w:val="000000"/>
          <w:sz w:val="20"/>
        </w:rPr>
        <w:t>The closing of the Offering occurred on September 21, 2026. The Company received net proceeds of approximately $915,400.50 from the Offering, after deducting the estimated offering expenses payable by the Company, including the placement agent fees. The Company intends to use the net proceeds from the Offering for general corporate purposes, including working capital.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offered Pre-Funded Warrants to those Purchasers whose purchase of Common Stock in the Offering would have resulted in the Purchaser, together with its affiliates and certain related parties, beneficially owning more than 4.99% of Common Stock immediately following the consummation of the Offering in lieu of the Common Stock that would otherwise result in ownership in excess of 4.99% of the outstanding Common Stock of the Company. The Pre-Funded Warrants may be exercised commencing on the issuance date at an exercise price of $0.001 per share and do not expire. The Pre-Funded Warrants are exercisable for cash; provided, however that they may be exercised on a cashless exercise basis if, at the time of exercise, there is no effective registration statement registering, or no current prospectus available for, the issuance or resale of the Common Stock issuable upon exercise of the Pre-Funded Warrants. The exercise of the Pre-Funded Warrants will be subject to a beneficial ownership limitation, which will prohibit the exercise thereof, if upon such exercise the holder of the Pre-Funded Warrants, its affiliates and any other persons or entities acting as a group together with the holder or any of the holder’s affiliates would hold 4.99% (or, upon election of a Purchaser prior to the issuance of any shares, 9.99%) of the number of Common Stock outstanding immediately after giving effect to the issuance of Common Stock issuable upon exercise of the Pre-Funded Warrant held by the applicable holder, provided that the holder may increase or decrease the beneficial ownership limitation (up to a maximum of 9.99%) upon 60 days advance notice to the Company, which 60 day period cannot be waived.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the Offering, the Company entered into a Placement Agency Agreement (the “Placement Agency Agreement”) with Dawson James Securities, Inc. (the “Placement Agent”), as the exclusive placement agent in connection with the Offering. As compensation to the Placement Agent, the Company paid the Placement Agent a cash fee of 8% of the aggregate gross proceeds raised in the Offering and reimbursed certain expenses of the Placement Agent.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Offering, each of the Company’s officers and directors entered into a lock-up agreement (each, a “Lock-Up Agreement”) with the Company and the Placement Agent, pursuant to which such officers and directors have agreed, for a period of fifteen (15) days from the date of the Offering, not to offer, sell, or otherwise transfer or dispose of, directly or indirectly, any shares of capital stock of the Company or any securities convertible into or exercisable or exchangeable for shares of capital stock of the Company, or file or cause to be filed any registration statement relating thereto, subject to certain exceptions.</w:t>
      </w:r>
    </w:p>
    <w:p>
      <w:pPr>
        <w:pStyle w:val="TextBody"/>
        <w:bidi w:val="0"/>
        <w:jc w:val="both"/>
        <w:rPr>
          <w:rFonts w:ascii="Times New Roman" w:hAnsi="Times New Roman"/>
          <w:color w:val="000000"/>
          <w:sz w:val="20"/>
        </w:rPr>
      </w:pPr>
      <w:r>
        <w:rPr>
          <w:rFonts w:ascii="Times New Roman" w:hAnsi="Times New Roman"/>
          <w:color w:val="000000"/>
          <w:sz w:val="20"/>
        </w:rPr>
        <w:t>The foregoing summaries of the Pre-Funded Warrants, Purchase Agreement, Placement Agency Agreement and the Lock-Up Agreements do not purport to be complete and are subject to, and qualified in their entirety by, copies of such documents attached as Exhibits 4.1, 10.1, 10.2 and 10.3 to this Current Report on Form 8-K, which are incorporated by reference herein.</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Item 8.01 Other Events.</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18, 2026, the Company issued a press release announcing the pricing of the Offering, a copy of which is attached as Exhibit 99.1 to this Current Report on Form 8-K and is hereby incorporated by reference herein.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in this Item 8.01, including Exhibits 99.1 and 99.2,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both"/>
        <w:rPr>
          <w:rFonts w:ascii="Times New Roman" w:hAnsi="Times New Roman"/>
          <w:b/>
          <w:color w:val="000000"/>
          <w:sz w:val="20"/>
        </w:rPr>
      </w:pPr>
      <w:r>
        <w:rPr>
          <w:rFonts w:ascii="Times New Roman" w:hAnsi="Times New Roman"/>
          <w:b/>
          <w:color w:val="000000"/>
          <w:sz w:val="20"/>
        </w:rPr>
        <w:t>(d) Exhibits</w:t>
      </w:r>
    </w:p>
    <w:p>
      <w:pPr>
        <w:pStyle w:val="TextBody"/>
        <w:bidi w:val="0"/>
        <w:jc w:val="both"/>
        <w:rPr>
          <w:rFonts w:ascii="Times New Roman" w:hAnsi="Times New Roman"/>
          <w:color w:val="000000"/>
          <w:sz w:val="20"/>
        </w:rPr>
      </w:pPr>
      <w:r>
        <w:rPr>
          <w:rFonts w:ascii="Times New Roman" w:hAnsi="Times New Roman"/>
          <w:color w:val="000000"/>
          <w:sz w:val="20"/>
        </w:rPr>
        <w:t>The following exhibits are being filed herewith:</w:t>
      </w:r>
    </w:p>
    <w:tbl>
      <w:tblPr>
        <w:tblW w:w="10205" w:type="dxa"/>
        <w:jc w:val="left"/>
        <w:tblInd w:w="0" w:type="dxa"/>
        <w:tblLayout w:type="fixed"/>
        <w:tblCellMar>
          <w:top w:w="28" w:type="dxa"/>
          <w:left w:w="28" w:type="dxa"/>
          <w:bottom w:w="28" w:type="dxa"/>
          <w:right w:w="28" w:type="dxa"/>
        </w:tblCellMar>
      </w:tblPr>
      <w:tblGrid>
        <w:gridCol w:w="1064"/>
        <w:gridCol w:w="146"/>
        <w:gridCol w:w="8995"/>
      </w:tblGrid>
      <w:tr>
        <w:trPr/>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95" w:type="dxa"/>
            <w:tcBorders/>
            <w:vAlign w:val="center"/>
          </w:tcPr>
          <w:p>
            <w:pPr>
              <w:pStyle w:val="TableContents"/>
              <w:bidi w:val="0"/>
              <w:spacing w:before="0" w:after="283"/>
              <w:jc w:val="left"/>
              <w:rPr>
                <w:sz w:val="4"/>
                <w:szCs w:val="4"/>
              </w:rPr>
            </w:pPr>
            <w:r>
              <w:rPr>
                <w:sz w:val="4"/>
                <w:szCs w:val="4"/>
              </w:rPr>
            </w:r>
          </w:p>
        </w:tc>
      </w:tr>
      <w:tr>
        <w:trPr/>
        <w:tc>
          <w:tcPr>
            <w:tcW w:w="1064"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95"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tcrt-ex4_1.htm">
              <w:r>
                <w:rPr>
                  <w:rStyle w:val="InternetLink"/>
                  <w:rFonts w:ascii="Times New Roman" w:hAnsi="Times New Roman"/>
                  <w:color w:val="0000FF"/>
                  <w:sz w:val="20"/>
                  <w:u w:val="single"/>
                </w:rPr>
                <w:t>Form of Pre-Funded Warrant</w:t>
              </w:r>
            </w:hyperlink>
          </w:p>
        </w:tc>
      </w:tr>
      <w:tr>
        <w:trPr/>
        <w:tc>
          <w:tcPr>
            <w:tcW w:w="1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crt-ex5_1.htm">
              <w:r>
                <w:rPr>
                  <w:rStyle w:val="InternetLink"/>
                  <w:rFonts w:ascii="Times New Roman" w:hAnsi="Times New Roman"/>
                  <w:color w:val="0000FF"/>
                  <w:sz w:val="20"/>
                  <w:u w:val="single"/>
                </w:rPr>
                <w:t>Opinion of Sichenzia Ross Ference Carmel LLP</w:t>
              </w:r>
            </w:hyperlink>
          </w:p>
        </w:tc>
      </w:tr>
      <w:tr>
        <w:trPr/>
        <w:tc>
          <w:tcPr>
            <w:tcW w:w="10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tcrt-ex10_1.htm">
              <w:r>
                <w:rPr>
                  <w:rStyle w:val="InternetLink"/>
                  <w:rFonts w:ascii="Times New Roman" w:hAnsi="Times New Roman"/>
                  <w:color w:val="0000FF"/>
                  <w:sz w:val="20"/>
                  <w:u w:val="single"/>
                </w:rPr>
                <w:t>Form of Securities Purchase Agreement by and between Alaunos Therapeutics, Inc. and the Purchaser</w:t>
              </w:r>
            </w:hyperlink>
            <w:r>
              <w:rPr>
                <w:rFonts w:ascii="Times New Roman" w:hAnsi="Times New Roman"/>
                <w:color w:val="000000"/>
                <w:sz w:val="20"/>
              </w:rPr>
              <w:t>s</w:t>
            </w:r>
          </w:p>
        </w:tc>
      </w:tr>
      <w:tr>
        <w:trPr/>
        <w:tc>
          <w:tcPr>
            <w:tcW w:w="1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crt-ex10_2.htm">
              <w:r>
                <w:rPr>
                  <w:rStyle w:val="InternetLink"/>
                  <w:rFonts w:ascii="Times New Roman" w:hAnsi="Times New Roman"/>
                  <w:color w:val="0000FF"/>
                  <w:sz w:val="20"/>
                  <w:u w:val="single"/>
                </w:rPr>
                <w:t>Placement Agency Agreement between the Company and Dawson James Securities, Inc. dated September 18, 2026</w:t>
              </w:r>
            </w:hyperlink>
          </w:p>
        </w:tc>
      </w:tr>
      <w:tr>
        <w:trPr/>
        <w:tc>
          <w:tcPr>
            <w:tcW w:w="1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crt-ex10_3.htm">
              <w:r>
                <w:rPr>
                  <w:rStyle w:val="InternetLink"/>
                  <w:rFonts w:ascii="Times New Roman" w:hAnsi="Times New Roman"/>
                  <w:color w:val="0000FF"/>
                  <w:sz w:val="20"/>
                  <w:u w:val="single"/>
                </w:rPr>
                <w:t>Form of Lock-Up Agreement</w:t>
              </w:r>
            </w:hyperlink>
          </w:p>
        </w:tc>
      </w:tr>
      <w:tr>
        <w:trPr/>
        <w:tc>
          <w:tcPr>
            <w:tcW w:w="10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Consent of Sichenzia Ross Ference Carmel LLP (contained in Exhibit 5.1)</w:t>
            </w:r>
          </w:p>
        </w:tc>
      </w:tr>
      <w:tr>
        <w:trPr/>
        <w:tc>
          <w:tcPr>
            <w:tcW w:w="1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crt-ex99_1.htm">
              <w:r>
                <w:rPr>
                  <w:rStyle w:val="InternetLink"/>
                  <w:rFonts w:ascii="Times New Roman" w:hAnsi="Times New Roman"/>
                  <w:color w:val="0000FF"/>
                  <w:sz w:val="20"/>
                  <w:u w:val="single"/>
                </w:rPr>
                <w:t>Press Release issued by the Company on September 18, 2026</w:t>
              </w:r>
            </w:hyperlink>
          </w:p>
        </w:tc>
      </w:tr>
      <w:tr>
        <w:trPr/>
        <w:tc>
          <w:tcPr>
            <w:tcW w:w="1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both"/>
        <w:rPr>
          <w:rFonts w:ascii="Times New Roman" w:hAnsi="Times New Roman"/>
          <w:color w:val="000000"/>
          <w:sz w:val="20"/>
        </w:rPr>
      </w:pPr>
      <w:r>
        <w:rPr>
          <w:rFonts w:ascii="Times New Roman" w:hAnsi="Times New Roman"/>
          <w:color w:val="000000"/>
          <w:sz w:val="20"/>
        </w:rPr>
        <w:t>Date: September 22, 2026</w:t>
      </w:r>
    </w:p>
    <w:tbl>
      <w:tblPr>
        <w:tblW w:w="3259" w:type="dxa"/>
        <w:jc w:val="left"/>
        <w:tblInd w:w="0" w:type="dxa"/>
        <w:tblLayout w:type="fixed"/>
        <w:tblCellMar>
          <w:top w:w="28" w:type="dxa"/>
          <w:left w:w="28" w:type="dxa"/>
          <w:bottom w:w="28" w:type="dxa"/>
          <w:right w:w="28" w:type="dxa"/>
        </w:tblCellMar>
      </w:tblPr>
      <w:tblGrid>
        <w:gridCol w:w="534"/>
        <w:gridCol w:w="2571"/>
        <w:gridCol w:w="154"/>
      </w:tblGrid>
      <w:tr>
        <w:trPr/>
        <w:tc>
          <w:tcPr>
            <w:tcW w:w="534"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ALAUNOS THERAPEUTICS, INC.</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7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Holger Weis</w:t>
            </w:r>
          </w:p>
        </w:tc>
        <w:tc>
          <w:tcPr>
            <w:tcW w:w="154"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Holger Weis</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tcrt-ex4_1.htm"/>
      <w:bookmarkStart w:id="3" w:name="kstcrtex4_1"/>
      <w:bookmarkEnd w:id="2"/>
      <w:bookmarkEnd w:id="3"/>
      <w:r>
        <w:rPr>
          <w:rFonts w:ascii="Times New Roman" w:hAnsi="Times New Roman"/>
          <w:b/>
          <w:color w:val="000000"/>
          <w:sz w:val="20"/>
        </w:rPr>
        <w:t>Exhibit 4.1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PRE-FUNDED COMMON STOCK PURCHASE WARRANT</w:t>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tbl>
      <w:tblPr>
        <w:tblW w:w="3302" w:type="dxa"/>
        <w:jc w:val="left"/>
        <w:tblInd w:w="0" w:type="dxa"/>
        <w:tblLayout w:type="fixed"/>
        <w:tblCellMar>
          <w:top w:w="28" w:type="dxa"/>
          <w:left w:w="28" w:type="dxa"/>
          <w:bottom w:w="28" w:type="dxa"/>
          <w:right w:w="28" w:type="dxa"/>
        </w:tblCellMar>
      </w:tblPr>
      <w:tblGrid>
        <w:gridCol w:w="1951"/>
        <w:gridCol w:w="1351"/>
      </w:tblGrid>
      <w:tr>
        <w:trPr/>
        <w:tc>
          <w:tcPr>
            <w:tcW w:w="19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Warrant Number:</w:t>
            </w:r>
            <w:r>
              <w:rPr>
                <w:rFonts w:ascii="Times New Roman" w:hAnsi="Times New Roman"/>
                <w:color w:val="000000"/>
                <w:sz w:val="20"/>
              </w:rPr>
              <w:t> [●]</w:t>
              <w:br/>
            </w:r>
            <w:r>
              <w:rPr>
                <w:rFonts w:ascii="Times New Roman" w:hAnsi="Times New Roman"/>
                <w:b/>
                <w:color w:val="000000"/>
                <w:sz w:val="20"/>
              </w:rPr>
              <w:t>Warrant Shares:</w:t>
            </w:r>
            <w:r>
              <w:rPr>
                <w:rFonts w:ascii="Times New Roman" w:hAnsi="Times New Roman"/>
                <w:color w:val="000000"/>
                <w:sz w:val="20"/>
              </w:rPr>
              <w:t> [●]</w:t>
            </w:r>
          </w:p>
        </w:tc>
        <w:tc>
          <w:tcPr>
            <w:tcW w:w="13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 xml:space="preserve">Issue Date: </w:t>
            </w:r>
            <w:r>
              <w:rPr>
                <w:rFonts w:ascii="Times New Roman" w:hAnsi="Times New Roman"/>
                <w:color w:val="000000"/>
                <w:sz w:val="20"/>
              </w:rPr>
              <w:t>[●]</w:t>
            </w:r>
          </w:p>
        </w:tc>
      </w:tr>
    </w:tbl>
    <w:p>
      <w:pPr>
        <w:pStyle w:val="TextBody"/>
        <w:bidi w:val="0"/>
        <w:jc w:val="both"/>
        <w:rPr>
          <w:rFonts w:ascii="Times New Roman" w:hAnsi="Times New Roman"/>
          <w:sz w:val="20"/>
        </w:rPr>
      </w:pPr>
      <w:r>
        <w:rPr>
          <w:rFonts w:ascii="Times New Roman" w:hAnsi="Times New Roman"/>
          <w:color w:val="000000"/>
          <w:sz w:val="20"/>
        </w:rPr>
        <w:t>THIS PRE-FUNDED COMMON STOCK PURCHASE WARRANT (the “</w:t>
      </w:r>
      <w:r>
        <w:rPr>
          <w:rFonts w:ascii="Times New Roman" w:hAnsi="Times New Roman"/>
          <w:color w:val="000000"/>
          <w:sz w:val="20"/>
          <w:u w:val="single"/>
        </w:rPr>
        <w:t>Warrant</w:t>
      </w:r>
      <w:r>
        <w:rPr>
          <w:rFonts w:ascii="Times New Roman" w:hAnsi="Times New Roman"/>
          <w:color w:val="000000"/>
          <w:sz w:val="20"/>
        </w:rPr>
        <w:t>”) certifies that, for value received, [●], or its assigns (the “</w:t>
      </w:r>
      <w:r>
        <w:rPr>
          <w:rFonts w:ascii="Times New Roman" w:hAnsi="Times New Roman"/>
          <w:color w:val="000000"/>
          <w:sz w:val="20"/>
          <w:u w:val="single"/>
        </w:rPr>
        <w:t>Holder</w:t>
      </w:r>
      <w:r>
        <w:rPr>
          <w:rFonts w:ascii="Times New Roman" w:hAnsi="Times New Roman"/>
          <w:color w:val="000000"/>
          <w:sz w:val="20"/>
        </w:rPr>
        <w:t>”) is entitled, upon the terms and subject to the limitations on exercise and the conditions hereinafter set forth, at any time on or after the date hereof (the “</w:t>
      </w:r>
      <w:r>
        <w:rPr>
          <w:rFonts w:ascii="Times New Roman" w:hAnsi="Times New Roman"/>
          <w:color w:val="000000"/>
          <w:sz w:val="20"/>
          <w:u w:val="single"/>
        </w:rPr>
        <w:t>Initial Exercise Date</w:t>
      </w:r>
      <w:r>
        <w:rPr>
          <w:rFonts w:ascii="Times New Roman" w:hAnsi="Times New Roman"/>
          <w:color w:val="000000"/>
          <w:sz w:val="20"/>
        </w:rPr>
        <w:t>”), and until this Warrant is exercised in full (the “</w:t>
      </w:r>
      <w:r>
        <w:rPr>
          <w:rFonts w:ascii="Times New Roman" w:hAnsi="Times New Roman"/>
          <w:color w:val="000000"/>
          <w:sz w:val="20"/>
          <w:u w:val="single"/>
        </w:rPr>
        <w:t>Termination Date</w:t>
      </w:r>
      <w:r>
        <w:rPr>
          <w:rFonts w:ascii="Times New Roman" w:hAnsi="Times New Roman"/>
          <w:color w:val="000000"/>
          <w:sz w:val="20"/>
        </w:rPr>
        <w:t xml:space="preserve"> but not thereafter, to subscribe for and purchase from </w:t>
      </w:r>
      <w:r>
        <w:rPr>
          <w:rFonts w:ascii="Times New Roman" w:hAnsi="Times New Roman"/>
          <w:b/>
          <w:caps/>
          <w:color w:val="000000"/>
          <w:sz w:val="20"/>
        </w:rPr>
        <w:t>Alaunos Therapeutics, Inc.,</w:t>
      </w:r>
      <w:r>
        <w:rPr>
          <w:rFonts w:ascii="Times New Roman" w:hAnsi="Times New Roman"/>
          <w:color w:val="000000"/>
          <w:sz w:val="20"/>
        </w:rPr>
        <w:t xml:space="preserve"> a Delaware corporation (the “</w:t>
      </w:r>
      <w:r>
        <w:rPr>
          <w:rFonts w:ascii="Times New Roman" w:hAnsi="Times New Roman"/>
          <w:color w:val="000000"/>
          <w:sz w:val="20"/>
          <w:u w:val="single"/>
        </w:rPr>
        <w:t>Company</w:t>
      </w:r>
      <w:r>
        <w:rPr>
          <w:rFonts w:ascii="Times New Roman" w:hAnsi="Times New Roman"/>
          <w:color w:val="000000"/>
          <w:sz w:val="20"/>
        </w:rPr>
        <w:t xml:space="preserve">”), up to </w:t>
      </w:r>
      <w:r>
        <w:rPr>
          <w:rFonts w:ascii="Times New Roman" w:hAnsi="Times New Roman"/>
          <w:b/>
          <w:color w:val="000000"/>
          <w:sz w:val="20"/>
        </w:rPr>
        <w:t>[●] shares</w:t>
      </w:r>
      <w:r>
        <w:rPr>
          <w:rFonts w:ascii="Times New Roman" w:hAnsi="Times New Roman"/>
          <w:color w:val="000000"/>
          <w:sz w:val="20"/>
        </w:rPr>
        <w:t xml:space="preserve"> (as subject to adjustment hereunder, the “</w:t>
      </w:r>
      <w:r>
        <w:rPr>
          <w:rFonts w:ascii="Times New Roman" w:hAnsi="Times New Roman"/>
          <w:color w:val="000000"/>
          <w:sz w:val="20"/>
          <w:u w:val="single"/>
        </w:rPr>
        <w:t>Warrant Shares</w:t>
      </w:r>
      <w:r>
        <w:rPr>
          <w:rFonts w:ascii="Times New Roman" w:hAnsi="Times New Roman"/>
          <w:color w:val="000000"/>
          <w:sz w:val="20"/>
        </w:rPr>
        <w:t>”) of the Company’s Common Stock, par value $0.001 per share. The purchase price of one share of Common Stock under this Warrant shall be equal to the Exercise Price, as defined in Section 2(b).</w:t>
      </w:r>
    </w:p>
    <w:p>
      <w:pPr>
        <w:pStyle w:val="TextBody"/>
        <w:bidi w:val="0"/>
        <w:jc w:val="both"/>
        <w:rPr>
          <w:rFonts w:ascii="Times New Roman" w:hAnsi="Times New Roman"/>
          <w:sz w:val="20"/>
        </w:rPr>
      </w:pPr>
      <w:r>
        <w:rPr>
          <w:rFonts w:ascii="Times New Roman" w:hAnsi="Times New Roman"/>
          <w:color w:val="000000"/>
          <w:sz w:val="20"/>
          <w:u w:val="single"/>
        </w:rPr>
        <w:t>Section 1</w:t>
      </w:r>
      <w:r>
        <w:rPr>
          <w:rFonts w:ascii="Times New Roman" w:hAnsi="Times New Roman"/>
          <w:color w:val="000000"/>
          <w:sz w:val="20"/>
        </w:rPr>
        <w:t xml:space="preserve">. </w:t>
      </w:r>
      <w:r>
        <w:rPr>
          <w:rFonts w:ascii="Times New Roman" w:hAnsi="Times New Roman"/>
          <w:color w:val="000000"/>
          <w:sz w:val="20"/>
          <w:u w:val="single"/>
        </w:rPr>
        <w:t>Definitions</w:t>
      </w:r>
      <w:r>
        <w:rPr>
          <w:rFonts w:ascii="Times New Roman" w:hAnsi="Times New Roman"/>
          <w:color w:val="000000"/>
          <w:sz w:val="20"/>
        </w:rPr>
        <w:t>. Capitalized terms used and not otherwise defined herein shall have the meanings set forth in that certain Securities Purchase Agreement (the “</w:t>
      </w:r>
      <w:r>
        <w:rPr>
          <w:rFonts w:ascii="Times New Roman" w:hAnsi="Times New Roman"/>
          <w:color w:val="000000"/>
          <w:sz w:val="20"/>
          <w:u w:val="single"/>
        </w:rPr>
        <w:t>Purchase Agreement</w:t>
      </w:r>
      <w:r>
        <w:rPr>
          <w:rFonts w:ascii="Times New Roman" w:hAnsi="Times New Roman"/>
          <w:color w:val="000000"/>
          <w:sz w:val="20"/>
        </w:rPr>
        <w:t>”), dated [●], among the Company and the purchaser signatory thereto.</w:t>
      </w:r>
    </w:p>
    <w:p>
      <w:pPr>
        <w:pStyle w:val="TextBody"/>
        <w:bidi w:val="0"/>
        <w:jc w:val="both"/>
        <w:rPr>
          <w:rFonts w:ascii="Times New Roman" w:hAnsi="Times New Roman"/>
          <w:sz w:val="20"/>
        </w:rPr>
      </w:pPr>
      <w:r>
        <w:rPr>
          <w:rFonts w:ascii="Times New Roman" w:hAnsi="Times New Roman"/>
          <w:color w:val="000000"/>
          <w:sz w:val="20"/>
          <w:u w:val="single"/>
        </w:rPr>
        <w:t>Section 2</w:t>
      </w:r>
      <w:r>
        <w:rPr>
          <w:rFonts w:ascii="Times New Roman" w:hAnsi="Times New Roman"/>
          <w:color w:val="000000"/>
          <w:sz w:val="20"/>
        </w:rPr>
        <w:t xml:space="preserve">. </w:t>
      </w:r>
      <w:r>
        <w:rPr>
          <w:rFonts w:ascii="Times New Roman" w:hAnsi="Times New Roman"/>
          <w:color w:val="000000"/>
          <w:sz w:val="20"/>
          <w:u w:val="single"/>
        </w:rPr>
        <w:t>Exercise</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Exercise of Warrant</w:t>
      </w:r>
      <w:r>
        <w:rPr>
          <w:rFonts w:ascii="Times New Roman" w:hAnsi="Times New Roman"/>
          <w:color w:val="000000"/>
          <w:sz w:val="20"/>
        </w:rPr>
        <w:t xml:space="preserve">.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as </w:t>
      </w:r>
      <w:r>
        <w:rPr>
          <w:rFonts w:ascii="Times New Roman" w:hAnsi="Times New Roman"/>
          <w:color w:val="000000"/>
          <w:sz w:val="20"/>
          <w:u w:val="single"/>
        </w:rPr>
        <w:t>Exhibit A</w:t>
      </w:r>
      <w:r>
        <w:rPr>
          <w:rFonts w:ascii="Times New Roman" w:hAnsi="Times New Roman"/>
          <w:color w:val="000000"/>
          <w:sz w:val="20"/>
        </w:rPr>
        <w:t xml:space="preserve"> (the “</w:t>
      </w:r>
      <w:r>
        <w:rPr>
          <w:rFonts w:ascii="Times New Roman" w:hAnsi="Times New Roman"/>
          <w:color w:val="000000"/>
          <w:sz w:val="20"/>
          <w:u w:val="single"/>
        </w:rPr>
        <w:t>Notice of Exercise</w:t>
      </w:r>
      <w:r>
        <w:rPr>
          <w:rFonts w:ascii="Times New Roman" w:hAnsi="Times New Roman"/>
          <w:color w:val="000000"/>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this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hAnsi="Times New Roman"/>
          <w:b/>
          <w:color w:val="000000"/>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rFonts w:ascii="Times New Roman" w:hAnsi="Times New Roman"/>
          <w:color w:val="000000"/>
          <w:sz w:val="20"/>
        </w:rPr>
        <w:t xml:space="preserve"> For the avoidance of doubt, there is no circumstance that would require the Company to net cash settle the warrants.</w:t>
      </w:r>
    </w:p>
    <w:tbl>
      <w:tblPr>
        <w:tblW w:w="10205" w:type="dxa"/>
        <w:jc w:val="left"/>
        <w:tblInd w:w="0" w:type="dxa"/>
        <w:tblLayout w:type="fixed"/>
        <w:tblCellMar>
          <w:top w:w="28" w:type="dxa"/>
          <w:left w:w="28" w:type="dxa"/>
          <w:bottom w:w="28" w:type="dxa"/>
          <w:right w:w="28" w:type="dxa"/>
        </w:tblCellMar>
      </w:tblPr>
      <w:tblGrid>
        <w:gridCol w:w="161"/>
        <w:gridCol w:w="218"/>
        <w:gridCol w:w="9826"/>
      </w:tblGrid>
      <w:tr>
        <w:trPr/>
        <w:tc>
          <w:tcPr>
            <w:tcW w:w="1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8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u w:val="single"/>
              </w:rPr>
              <w:t>Exercise Price</w:t>
            </w:r>
            <w:r>
              <w:rPr>
                <w:rFonts w:ascii="Times New Roman" w:hAnsi="Times New Roman"/>
                <w:color w:val="000000"/>
                <w:sz w:val="20"/>
              </w:rPr>
              <w:t>. The aggregate exercise price of this Warrant, except for a nominal exercise price of $0.001 per Warrant Share, was pre-funded to the Company on or prior to the Initial Exercise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$0.001, subject to adjustment hereunder (the “</w:t>
            </w:r>
            <w:r>
              <w:rPr>
                <w:rFonts w:ascii="Times New Roman" w:hAnsi="Times New Roman"/>
                <w:color w:val="000000"/>
                <w:sz w:val="20"/>
                <w:u w:val="single"/>
              </w:rPr>
              <w:t>Exercise Price</w:t>
            </w:r>
            <w:r>
              <w:rPr>
                <w:rFonts w:ascii="Times New Roman" w:hAnsi="Times New Roman"/>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10"/>
        <w:gridCol w:w="9834"/>
      </w:tblGrid>
      <w:tr>
        <w:trPr/>
        <w:tc>
          <w:tcPr>
            <w:tcW w:w="1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83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83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u w:val="single"/>
              </w:rPr>
              <w:t>Cashless Exercise</w:t>
            </w:r>
            <w:r>
              <w:rPr>
                <w:rFonts w:ascii="Times New Roman" w:hAnsi="Times New Roman"/>
                <w:color w:val="000000"/>
                <w:sz w:val="20"/>
              </w:rPr>
              <w:t>. If at the time of exercise hereof there is no effective registration statement registering, or the prospectus contained therein is not available for the issuance or resale of the Warrant Shares to or by the Holder, then this Warrant may also be exercised, in whole or in part, at such time by means of a “cashless exercise” in which the Holder shall be entitled to receive a number of Warrant Shares equal to the quotient obtained by dividing [(A-B) (X)] by (A), where:</w:t>
            </w:r>
          </w:p>
        </w:tc>
      </w:tr>
    </w:tbl>
    <w:tbl>
      <w:tblPr>
        <w:tblW w:w="10205" w:type="dxa"/>
        <w:jc w:val="left"/>
        <w:tblInd w:w="0" w:type="dxa"/>
        <w:tblLayout w:type="fixed"/>
        <w:tblCellMar>
          <w:top w:w="28" w:type="dxa"/>
          <w:left w:w="28" w:type="dxa"/>
          <w:bottom w:w="28" w:type="dxa"/>
          <w:right w:w="28" w:type="dxa"/>
        </w:tblCellMar>
      </w:tblPr>
      <w:tblGrid>
        <w:gridCol w:w="124"/>
        <w:gridCol w:w="331"/>
        <w:gridCol w:w="9750"/>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75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w:t>
            </w:r>
          </w:p>
        </w:tc>
        <w:tc>
          <w:tcPr>
            <w:tcW w:w="975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bl>
    <w:tbl>
      <w:tblPr>
        <w:tblW w:w="10205" w:type="dxa"/>
        <w:jc w:val="left"/>
        <w:tblInd w:w="0" w:type="dxa"/>
        <w:tblLayout w:type="fixed"/>
        <w:tblCellMar>
          <w:top w:w="28" w:type="dxa"/>
          <w:left w:w="28" w:type="dxa"/>
          <w:bottom w:w="28" w:type="dxa"/>
          <w:right w:w="28" w:type="dxa"/>
        </w:tblCellMar>
      </w:tblPr>
      <w:tblGrid>
        <w:gridCol w:w="124"/>
        <w:gridCol w:w="421"/>
        <w:gridCol w:w="9660"/>
      </w:tblGrid>
      <w:tr>
        <w:trPr/>
        <w:tc>
          <w:tcPr>
            <w:tcW w:w="12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66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 =</w:t>
            </w:r>
          </w:p>
        </w:tc>
        <w:tc>
          <w:tcPr>
            <w:tcW w:w="966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Exercise Price of this Warrant, as adjusted hereunder; and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(X) =</w:t>
            </w:r>
          </w:p>
        </w:tc>
        <w:tc>
          <w:tcPr>
            <w:tcW w:w="966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jc w:val="both"/>
        <w:rPr/>
      </w:pPr>
      <w:r>
        <w:rPr>
          <w:color w:val="000000"/>
        </w:rPr>
        <w:t>“</w:t>
      </w:r>
      <w:r>
        <w:rPr>
          <w:rFonts w:ascii="Times New Roman" w:hAnsi="Times New Roman"/>
          <w:color w:val="000000"/>
          <w:sz w:val="20"/>
          <w:u w:val="single"/>
        </w:rPr>
        <w:t>Bid Price</w:t>
      </w:r>
      <w:r>
        <w:rPr>
          <w:rFonts w:ascii="Times New Roman" w:hAnsi="Times New Roman"/>
          <w:color w:val="000000"/>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jc w:val="both"/>
        <w:rPr/>
      </w:pPr>
      <w:r>
        <w:rPr>
          <w:color w:val="000000"/>
        </w:rPr>
        <w:t>“</w:t>
      </w:r>
      <w:r>
        <w:rPr>
          <w:rFonts w:ascii="Times New Roman" w:hAnsi="Times New Roman"/>
          <w:color w:val="000000"/>
          <w:sz w:val="20"/>
          <w:u w:val="single"/>
        </w:rPr>
        <w:t>VWAP</w:t>
      </w:r>
      <w:r>
        <w:rPr>
          <w:rFonts w:ascii="Times New Roman" w:hAnsi="Times New Roman"/>
          <w:color w:val="000000"/>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tbl>
      <w:tblPr>
        <w:tblW w:w="2458" w:type="dxa"/>
        <w:jc w:val="left"/>
        <w:tblInd w:w="0" w:type="dxa"/>
        <w:tblLayout w:type="fixed"/>
        <w:tblCellMar>
          <w:top w:w="28" w:type="dxa"/>
          <w:left w:w="28" w:type="dxa"/>
          <w:bottom w:w="28" w:type="dxa"/>
          <w:right w:w="28" w:type="dxa"/>
        </w:tblCellMar>
      </w:tblPr>
      <w:tblGrid>
        <w:gridCol w:w="161"/>
        <w:gridCol w:w="271"/>
        <w:gridCol w:w="2026"/>
      </w:tblGrid>
      <w:tr>
        <w:trPr/>
        <w:tc>
          <w:tcPr>
            <w:tcW w:w="1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20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u w:val="single"/>
              </w:rPr>
              <w:t>Mechanics of Exercise</w:t>
            </w:r>
            <w:r>
              <w:rPr>
                <w:rFonts w:ascii="Times New Roman" w:hAnsi="Times New Roman"/>
                <w:color w:val="000000"/>
                <w:sz w:val="20"/>
              </w:rPr>
              <w:t>.</w:t>
            </w:r>
          </w:p>
        </w:tc>
      </w:tr>
    </w:tbl>
    <w:p>
      <w:pPr>
        <w:pStyle w:val="TextBody"/>
        <w:bidi w:val="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Delivery of Warrant Shares Upon Exercise</w:t>
      </w:r>
      <w:r>
        <w:rPr>
          <w:rFonts w:ascii="Times New Roman" w:hAnsi="Times New Roman"/>
          <w:color w:val="000000"/>
          <w:sz w:val="20"/>
        </w:rPr>
        <w:t>. The Company shall cause Equiniti Group, as the Company’s transfer agent (the “</w:t>
      </w:r>
      <w:r>
        <w:rPr>
          <w:rFonts w:ascii="Times New Roman" w:hAnsi="Times New Roman"/>
          <w:color w:val="000000"/>
          <w:sz w:val="20"/>
          <w:u w:val="single"/>
        </w:rPr>
        <w:t>Transfer Agent</w:t>
      </w:r>
      <w:r>
        <w:rPr>
          <w:rFonts w:ascii="Times New Roman" w:hAnsi="Times New Roman"/>
          <w:color w:val="000000"/>
          <w:sz w:val="20"/>
        </w:rPr>
        <w:t>”), to transmit the Warrant Shares purchased hereunder to the Holder by crediting the account of the Holder’s or its designee’s balance account with The Depository Trust Company through its Deposit or Withdrawal at Custodian system (“</w:t>
      </w:r>
      <w:r>
        <w:rPr>
          <w:rFonts w:ascii="Times New Roman" w:hAnsi="Times New Roman"/>
          <w:color w:val="000000"/>
          <w:sz w:val="20"/>
          <w:u w:val="single"/>
        </w:rPr>
        <w:t>DWAC</w:t>
      </w:r>
      <w:r>
        <w:rPr>
          <w:rFonts w:ascii="Times New Roman" w:hAnsi="Times New Roman"/>
          <w:color w:val="000000"/>
          <w:sz w:val="20"/>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(A) the earlier of (i) two (2) Trading Days and (ii) the number of days comprising the Standard Settlement Period, in each case after the delivery to the Company of the Notice of Exercise and (B) one (1) Trading Day after delivery of the aggregate Exercise Price to the Company (such date, the “</w:t>
      </w:r>
      <w:r>
        <w:rPr>
          <w:rFonts w:ascii="Times New Roman" w:hAnsi="Times New Roman"/>
          <w:color w:val="000000"/>
          <w:sz w:val="20"/>
          <w:u w:val="single"/>
        </w:rPr>
        <w:t>Warrant Share Delivery Date</w:t>
      </w:r>
      <w:r>
        <w:rPr>
          <w:rFonts w:ascii="Times New Roman" w:hAnsi="Times New Roman"/>
          <w:color w:val="000000"/>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(other than failure of the Holder to timely deliver the aggregate Exercise Price, unless the Warrant is validly exercised by means of a cashless exercise) to cause its Transfer Agent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color w:val="000000"/>
          <w:sz w:val="20"/>
          <w:u w:val="single"/>
        </w:rPr>
        <w:t>Standard Settlement Period</w:t>
      </w:r>
      <w:r>
        <w:rPr>
          <w:rFonts w:ascii="Times New Roman" w:hAnsi="Times New Roman"/>
          <w:color w:val="000000"/>
          <w:sz w:val="20"/>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9:00 a.m.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pStyle w:val="TextBody"/>
        <w:bidi w:val="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Delivery of New Warrants Upon Exercise</w:t>
      </w:r>
      <w:r>
        <w:rPr>
          <w:rFonts w:ascii="Times New Roman" w:hAnsi="Times New Roman"/>
          <w:color w:val="000000"/>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jc w:val="both"/>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Rescission Rights</w:t>
      </w:r>
      <w:r>
        <w:rPr>
          <w:rFonts w:ascii="Times New Roman" w:hAnsi="Times New Roman"/>
          <w:color w:val="000000"/>
          <w:sz w:val="20"/>
        </w:rPr>
        <w:t xml:space="preserve">. Except in connection with an exercise on the Initial Exercise Date, if the Company fails to cause the Transfer Agent to transmit to the Holder the Warrant Shares pursuant to Section 2(d)(i) by the Warrant Share Delivery Date, then the Holder will have the right to rescind such exercise, provided, however, that the Holder shall be required to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return any Warrant Shares subject to any such rescinded exercise notice concurrently with the return to Holder of the aggregate Exercise Price paid to the Company for such Warrant Shares and the restoration of Holder’s right to acquire such Warrant Shares pursuant to this Warrant.</w:t>
      </w:r>
    </w:p>
    <w:p>
      <w:pPr>
        <w:pStyle w:val="TextBody"/>
        <w:bidi w:val="0"/>
        <w:jc w:val="both"/>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Compensation for Buy-In on Failure to Timely Deliver Warrant Shares Upon Exercise</w:t>
      </w:r>
      <w:r>
        <w:rPr>
          <w:rFonts w:ascii="Times New Roman" w:hAnsi="Times New Roman"/>
          <w:color w:val="000000"/>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as a result of failure of the Holder to timely deliver the aggregate Exercise Price, unless the Warrant is validly exercised by means of a cashless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color w:val="000000"/>
          <w:sz w:val="20"/>
          <w:u w:val="single"/>
        </w:rPr>
        <w:t>Buy-In</w:t>
      </w:r>
      <w:r>
        <w:rPr>
          <w:rFonts w:ascii="Times New Roman" w:hAnsi="Times New Roman"/>
          <w:color w:val="000000"/>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and return any amount received by the Company in respect of the Exercise Price for those Warrant Shares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satisfactory to the Company with respect to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jc w:val="both"/>
        <w:rPr>
          <w:rFonts w:ascii="Times New Roman" w:hAnsi="Times New Roman"/>
          <w:sz w:val="20"/>
        </w:rPr>
      </w:pPr>
      <w:r>
        <w:rPr>
          <w:rFonts w:ascii="Times New Roman" w:hAnsi="Times New Roman"/>
          <w:color w:val="000000"/>
          <w:sz w:val="20"/>
        </w:rPr>
        <w:t xml:space="preserve">v. </w:t>
      </w:r>
      <w:r>
        <w:rPr>
          <w:rFonts w:ascii="Times New Roman" w:hAnsi="Times New Roman"/>
          <w:color w:val="000000"/>
          <w:sz w:val="20"/>
          <w:u w:val="single"/>
        </w:rPr>
        <w:t>No Fractional Shares or Scrip</w:t>
      </w:r>
      <w:r>
        <w:rPr>
          <w:rFonts w:ascii="Times New Roman" w:hAnsi="Times New Roman"/>
          <w:color w:val="000000"/>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jc w:val="both"/>
        <w:rPr>
          <w:rFonts w:ascii="Times New Roman" w:hAnsi="Times New Roman"/>
          <w:sz w:val="20"/>
        </w:rPr>
      </w:pPr>
      <w:r>
        <w:rPr>
          <w:rFonts w:ascii="Times New Roman" w:hAnsi="Times New Roman"/>
          <w:color w:val="000000"/>
          <w:sz w:val="20"/>
        </w:rPr>
        <w:t xml:space="preserve">vi. </w:t>
      </w:r>
      <w:r>
        <w:rPr>
          <w:rFonts w:ascii="Times New Roman" w:hAnsi="Times New Roman"/>
          <w:color w:val="000000"/>
          <w:sz w:val="20"/>
          <w:u w:val="single"/>
        </w:rPr>
        <w:t>Charges, Taxes and Expenses</w:t>
      </w:r>
      <w:r>
        <w:rPr>
          <w:rFonts w:ascii="Times New Roman" w:hAnsi="Times New Roman"/>
          <w:color w:val="000000"/>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in the event that Warrant Shares are to be issued in a name other than the name of the Holder, this Warrant when surrendered for exercise shall be accompanied by the Assignment Form attached hereto as </w:t>
      </w:r>
      <w:r>
        <w:rPr>
          <w:rFonts w:ascii="Times New Roman" w:hAnsi="Times New Roman"/>
          <w:color w:val="000000"/>
          <w:sz w:val="20"/>
          <w:u w:val="single"/>
        </w:rPr>
        <w:t>Exhibit B</w:t>
      </w:r>
      <w:r>
        <w:rPr>
          <w:rFonts w:ascii="Times New Roman" w:hAnsi="Times New Roman"/>
          <w:color w:val="000000"/>
          <w:sz w:val="20"/>
        </w:rPr>
        <w:t xml:space="preserve">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vii. </w:t>
      </w:r>
      <w:r>
        <w:rPr>
          <w:rFonts w:ascii="Times New Roman" w:hAnsi="Times New Roman"/>
          <w:color w:val="000000"/>
          <w:sz w:val="20"/>
          <w:u w:val="single"/>
        </w:rPr>
        <w:t>Closing of Books</w:t>
      </w:r>
      <w:r>
        <w:rPr>
          <w:rFonts w:ascii="Times New Roman" w:hAnsi="Times New Roman"/>
          <w:color w:val="000000"/>
          <w:sz w:val="20"/>
        </w:rPr>
        <w:t>. The Company will not close its stockholder books or records in any manner which prevents the timely exercise of this Warrant, pursuant to the terms hereof.</w:t>
      </w:r>
    </w:p>
    <w:p>
      <w:pPr>
        <w:pStyle w:val="TextBody"/>
        <w:bidi w:val="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Holder’s Exercise Limitations</w:t>
      </w:r>
      <w:r>
        <w:rPr>
          <w:rFonts w:ascii="Times New Roman" w:hAnsi="Times New Roman"/>
          <w:color w:val="000000"/>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“Attribution Parties”)),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a submission of a Notice of Exercise shall be deemed a representation and warranty by the Holder of the foregoing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shares of Common Stock was reported. The “Beneficial Ownership Limitation” shall be 4.99% of the number of shares of the Common Stock outstanding immediately after giving effect to the issuance of shares of Common Stock issuable upon exercise of this Warrant. The Holder, upon written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the Warrant is unexercisable as a result of the Holder’s Beneficial Ownership Limitation, no alternate consideration is owed to the Holder.</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u w:val="single"/>
        </w:rPr>
        <w:t>Section 3</w:t>
      </w:r>
      <w:r>
        <w:rPr>
          <w:rFonts w:ascii="Times New Roman" w:hAnsi="Times New Roman"/>
          <w:color w:val="000000"/>
          <w:sz w:val="20"/>
        </w:rPr>
        <w:t xml:space="preserve">. </w:t>
      </w:r>
      <w:r>
        <w:rPr>
          <w:rFonts w:ascii="Times New Roman" w:hAnsi="Times New Roman"/>
          <w:color w:val="000000"/>
          <w:sz w:val="20"/>
          <w:u w:val="single"/>
        </w:rPr>
        <w:t>Certain Adjustments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Stock Dividends and Splits</w:t>
      </w:r>
      <w:r>
        <w:rPr>
          <w:rFonts w:ascii="Times New Roman" w:hAnsi="Times New Roman"/>
          <w:color w:val="000000"/>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Subsequent Rights Offerings</w:t>
      </w:r>
      <w:r>
        <w:rPr>
          <w:rFonts w:ascii="Times New Roman" w:hAnsi="Times New Roman"/>
          <w:color w:val="000000"/>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color w:val="000000"/>
          <w:sz w:val="20"/>
          <w:u w:val="single"/>
        </w:rPr>
        <w:t>Purchase Rights</w:t>
      </w:r>
      <w:r>
        <w:rPr>
          <w:rFonts w:ascii="Times New Roman" w:hAnsi="Times New Roman"/>
          <w:color w:val="000000"/>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Pro Rata Distributions</w:t>
      </w:r>
      <w:r>
        <w:rPr>
          <w:rFonts w:ascii="Times New Roman" w:hAnsi="Times New Roman"/>
          <w:color w:val="000000"/>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except to the extent an adjustment was already made pursuant to Section 3(a) (a “</w:t>
      </w:r>
      <w:r>
        <w:rPr>
          <w:rFonts w:ascii="Times New Roman" w:hAnsi="Times New Roman"/>
          <w:color w:val="000000"/>
          <w:sz w:val="20"/>
          <w:u w:val="single"/>
        </w:rPr>
        <w:t>Distribution</w:t>
      </w:r>
      <w:r>
        <w:rPr>
          <w:rFonts w:ascii="Times New Roman" w:hAnsi="Times New Roman"/>
          <w:color w:val="000000"/>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Fundamental Transaction</w:t>
      </w:r>
      <w:r>
        <w:rPr>
          <w:rFonts w:ascii="Times New Roman" w:hAnsi="Times New Roman"/>
          <w:color w:val="000000"/>
          <w:sz w:val="20"/>
        </w:rPr>
        <w:t xml:space="preserve">.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their shares for other securities, cash or property and has been accepted by the holders of (x) 50% or more of the outstanding Common Stock or (y)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(x) 50% of the voting power of the common equity of the Company or (y)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hAnsi="Times New Roman"/>
          <w:color w:val="000000"/>
          <w:sz w:val="20"/>
          <w:u w:val="single"/>
        </w:rPr>
        <w:t>Fundamental Transaction</w:t>
      </w:r>
      <w:r>
        <w:rPr>
          <w:rFonts w:ascii="Times New Roman" w:hAnsi="Times New Roman"/>
          <w:color w:val="000000"/>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hAnsi="Times New Roman"/>
          <w:color w:val="000000"/>
          <w:sz w:val="20"/>
          <w:u w:val="single"/>
        </w:rPr>
        <w:t>Alternate Consideration</w:t>
      </w:r>
      <w:r>
        <w:rPr>
          <w:rFonts w:ascii="Times New Roman" w:hAnsi="Times New Roman"/>
          <w:color w:val="000000"/>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hAnsi="Times New Roman"/>
          <w:color w:val="000000"/>
          <w:sz w:val="20"/>
          <w:u w:val="single"/>
        </w:rPr>
        <w:t>Successor Entity</w:t>
      </w:r>
      <w:r>
        <w:rPr>
          <w:rFonts w:ascii="Times New Roman" w:hAnsi="Times New Roman"/>
          <w:color w:val="000000"/>
          <w:sz w:val="20"/>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pStyle w:val="TextBody"/>
        <w:bidi w:val="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Calculations</w:t>
      </w:r>
      <w:r>
        <w:rPr>
          <w:rFonts w:ascii="Times New Roman" w:hAnsi="Times New Roman"/>
          <w:color w:val="000000"/>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Voluntary Adjustment By Company</w:t>
      </w:r>
      <w:r>
        <w:rPr>
          <w:rFonts w:ascii="Times New Roman" w:hAnsi="Times New Roman"/>
          <w:color w:val="000000"/>
          <w:sz w:val="20"/>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933" w:type="dxa"/>
        <w:jc w:val="left"/>
        <w:tblInd w:w="0" w:type="dxa"/>
        <w:tblLayout w:type="fixed"/>
        <w:tblCellMar>
          <w:top w:w="28" w:type="dxa"/>
          <w:left w:w="28" w:type="dxa"/>
          <w:bottom w:w="28" w:type="dxa"/>
          <w:right w:w="28" w:type="dxa"/>
        </w:tblCellMar>
      </w:tblPr>
      <w:tblGrid>
        <w:gridCol w:w="161"/>
        <w:gridCol w:w="226"/>
        <w:gridCol w:w="1546"/>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w:t>
            </w:r>
          </w:p>
        </w:tc>
        <w:tc>
          <w:tcPr>
            <w:tcW w:w="15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u w:val="single"/>
              </w:rPr>
              <w:t>Notice to Holder</w:t>
            </w:r>
            <w:r>
              <w:rPr>
                <w:rFonts w:ascii="Times New Roman" w:hAnsi="Times New Roman"/>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61"/>
        <w:gridCol w:w="211"/>
        <w:gridCol w:w="9833"/>
      </w:tblGrid>
      <w:tr>
        <w:trPr/>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3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w:t>
            </w:r>
          </w:p>
        </w:tc>
        <w:tc>
          <w:tcPr>
            <w:tcW w:w="98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u w:val="single"/>
              </w:rPr>
              <w:t>Adjustment to Exercise Price</w:t>
            </w:r>
            <w:r>
              <w:rPr>
                <w:rFonts w:ascii="Times New Roman" w:hAnsi="Times New Roman"/>
                <w:color w:val="000000"/>
                <w:sz w:val="20"/>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tc>
      </w:tr>
    </w:tbl>
    <w:tbl>
      <w:tblPr>
        <w:tblW w:w="10205" w:type="dxa"/>
        <w:jc w:val="left"/>
        <w:tblInd w:w="0" w:type="dxa"/>
        <w:tblLayout w:type="fixed"/>
        <w:tblCellMar>
          <w:top w:w="28" w:type="dxa"/>
          <w:left w:w="28" w:type="dxa"/>
          <w:bottom w:w="28" w:type="dxa"/>
          <w:right w:w="28" w:type="dxa"/>
        </w:tblCellMar>
      </w:tblPr>
      <w:tblGrid>
        <w:gridCol w:w="161"/>
        <w:gridCol w:w="271"/>
        <w:gridCol w:w="9773"/>
      </w:tblGrid>
      <w:tr>
        <w:trPr/>
        <w:tc>
          <w:tcPr>
            <w:tcW w:w="1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77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ii.</w:t>
            </w:r>
          </w:p>
        </w:tc>
        <w:tc>
          <w:tcPr>
            <w:tcW w:w="97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u w:val="single"/>
              </w:rPr>
              <w:t>Notice to Allow Exercise by Holder</w:t>
            </w:r>
            <w:r>
              <w:rPr>
                <w:rFonts w:ascii="Times New Roman" w:hAnsi="Times New Roman"/>
                <w:color w:val="000000"/>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Company’s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tc>
      </w:tr>
    </w:tbl>
    <w:p>
      <w:pPr>
        <w:pStyle w:val="TextBody"/>
        <w:bidi w:val="0"/>
        <w:jc w:val="both"/>
        <w:rPr>
          <w:rFonts w:ascii="Times New Roman" w:hAnsi="Times New Roman"/>
          <w:sz w:val="20"/>
        </w:rPr>
      </w:pPr>
      <w:r>
        <w:rPr>
          <w:rFonts w:ascii="Times New Roman" w:hAnsi="Times New Roman"/>
          <w:color w:val="000000"/>
          <w:sz w:val="20"/>
          <w:u w:val="single"/>
        </w:rPr>
        <w:t>Section 4</w:t>
      </w:r>
      <w:r>
        <w:rPr>
          <w:rFonts w:ascii="Times New Roman" w:hAnsi="Times New Roman"/>
          <w:color w:val="000000"/>
          <w:sz w:val="20"/>
        </w:rPr>
        <w:t xml:space="preserve">. </w:t>
      </w:r>
      <w:r>
        <w:rPr>
          <w:rFonts w:ascii="Times New Roman" w:hAnsi="Times New Roman"/>
          <w:color w:val="000000"/>
          <w:sz w:val="20"/>
          <w:u w:val="single"/>
        </w:rPr>
        <w:t>Transfer of Warrant</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Transferability</w:t>
      </w:r>
      <w:r>
        <w:rPr>
          <w:rFonts w:ascii="Times New Roman" w:hAnsi="Times New Roman"/>
          <w:color w:val="000000"/>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New Warrants</w:t>
      </w:r>
      <w:r>
        <w:rPr>
          <w:rFonts w:ascii="Times New Roman" w:hAnsi="Times New Roman"/>
          <w:color w:val="000000"/>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Warrant Register</w:t>
      </w:r>
      <w:r>
        <w:rPr>
          <w:rFonts w:ascii="Times New Roman" w:hAnsi="Times New Roman"/>
          <w:color w:val="000000"/>
          <w:sz w:val="20"/>
        </w:rPr>
        <w:t>. The Company shall register this Warrant, upon records to be maintained by the Company for that purpose (the “</w:t>
      </w:r>
      <w:r>
        <w:rPr>
          <w:rFonts w:ascii="Times New Roman" w:hAnsi="Times New Roman"/>
          <w:color w:val="000000"/>
          <w:sz w:val="20"/>
          <w:u w:val="single"/>
        </w:rPr>
        <w:t>Warrant Register</w:t>
      </w:r>
      <w:r>
        <w:rPr>
          <w:rFonts w:ascii="Times New Roman" w:hAnsi="Times New Roman"/>
          <w:color w:val="000000"/>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Representation by the Holder</w:t>
      </w:r>
      <w:r>
        <w:rPr>
          <w:rFonts w:ascii="Times New Roman" w:hAnsi="Times New Roman"/>
          <w:color w:val="000000"/>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jc w:val="both"/>
        <w:rPr>
          <w:rFonts w:ascii="Times New Roman" w:hAnsi="Times New Roman"/>
          <w:sz w:val="20"/>
        </w:rPr>
      </w:pPr>
      <w:r>
        <w:rPr>
          <w:rFonts w:ascii="Times New Roman" w:hAnsi="Times New Roman"/>
          <w:color w:val="000000"/>
          <w:sz w:val="20"/>
          <w:u w:val="single"/>
        </w:rPr>
        <w:t>Section 5</w:t>
      </w:r>
      <w:r>
        <w:rPr>
          <w:rFonts w:ascii="Times New Roman" w:hAnsi="Times New Roman"/>
          <w:color w:val="000000"/>
          <w:sz w:val="20"/>
        </w:rPr>
        <w:t xml:space="preserve">. </w:t>
      </w:r>
      <w:r>
        <w:rPr>
          <w:rFonts w:ascii="Times New Roman" w:hAnsi="Times New Roman"/>
          <w:color w:val="000000"/>
          <w:sz w:val="20"/>
          <w:u w:val="single"/>
        </w:rPr>
        <w:t>Miscellaneous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No Rights as Stockholder Until Exercise; No Settlement in Cash</w:t>
      </w:r>
      <w:r>
        <w:rPr>
          <w:rFonts w:ascii="Times New Roman" w:hAnsi="Times New Roman"/>
          <w:color w:val="000000"/>
          <w:sz w:val="20"/>
        </w:rPr>
        <w:t>. This Warrant does not entitle the Holder to any voting rights, dividends or other rights as a stockholder of the Company prior to the exercise hereof as set forth in Section 2(d)(i), except as expressly set forth in Section 3. Without limiting the rights of a Holder to receive Warrant Shares on a “cashless exercise,” and to receive the cash payments contemplated pursuant to Sections 2(d)(i) and 2(d)(iv), in no event will the Company be required to net cash settle an exercise of this Warrant.</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Loss, Theft, Destruction or Mutilation of Warrant</w:t>
      </w:r>
      <w:r>
        <w:rPr>
          <w:rFonts w:ascii="Times New Roman" w:hAnsi="Times New Roman"/>
          <w:color w:val="000000"/>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Saturdays, Sundays, Holidays, etc</w:t>
      </w:r>
      <w:r>
        <w:rPr>
          <w:rFonts w:ascii="Times New Roman" w:hAnsi="Times New Roman"/>
          <w:color w:val="000000"/>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Authorized Shares</w:t>
      </w:r>
      <w:r>
        <w:rPr>
          <w:rFonts w:ascii="Times New Roman" w:hAnsi="Times New Roman"/>
          <w:color w:val="000000"/>
          <w:sz w:val="20"/>
        </w:rPr>
        <w:t>. The Company has authorized 50,000,000 shares of Common Stock, par value $0.001 per share, and its Common Stock is listed on The Nasdaq Capital Market under the symbol “TCRT.” The Company covenants that, at all times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jc w:val="both"/>
        <w:rPr>
          <w:rFonts w:ascii="Times New Roman" w:hAnsi="Times New Roman"/>
          <w:color w:val="000000"/>
          <w:sz w:val="20"/>
        </w:rPr>
      </w:pPr>
      <w:r>
        <w:rPr>
          <w:rFonts w:ascii="Times New Roman" w:hAnsi="Times New Roman"/>
          <w:color w:val="000000"/>
          <w:sz w:val="20"/>
        </w:rPr>
        <w:t xml:space="preserve">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jc w:val="both"/>
        <w:rPr>
          <w:rFonts w:ascii="Times New Roman" w:hAnsi="Times New Roman"/>
          <w:color w:val="000000"/>
          <w:sz w:val="20"/>
        </w:rPr>
      </w:pPr>
      <w:r>
        <w:rPr>
          <w:rFonts w:ascii="Times New Roman" w:hAnsi="Times New Roman"/>
          <w:color w:val="000000"/>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Jurisdiction</w:t>
      </w:r>
      <w:r>
        <w:rPr>
          <w:rFonts w:ascii="Times New Roman" w:hAnsi="Times New Roman"/>
          <w:color w:val="000000"/>
          <w:sz w:val="20"/>
        </w:rPr>
        <w:t>. All questions concerning the construction, validity, enforcement and interpretation of this Warrant shall be determined in accordance with the provisions of the Purchase Agreement.</w:t>
      </w:r>
    </w:p>
    <w:p>
      <w:pPr>
        <w:pStyle w:val="TextBody"/>
        <w:bidi w:val="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Restrictions</w:t>
      </w:r>
      <w:r>
        <w:rPr>
          <w:rFonts w:ascii="Times New Roman" w:hAnsi="Times New Roman"/>
          <w:color w:val="000000"/>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Nonwaiver and Expenses</w:t>
      </w:r>
      <w:r>
        <w:rPr>
          <w:rFonts w:ascii="Times New Roman" w:hAnsi="Times New Roman"/>
          <w:color w:val="000000"/>
          <w:sz w:val="20"/>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jc w:val="both"/>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Notices</w:t>
      </w:r>
      <w:r>
        <w:rPr>
          <w:rFonts w:ascii="Times New Roman" w:hAnsi="Times New Roman"/>
          <w:color w:val="000000"/>
          <w:sz w:val="20"/>
        </w:rPr>
        <w:t xml:space="preserve">. Any and all notices or other communications or deliveries to be provided by the Holder including, without limitation, any Notice of Exercise, shall be in writing and delivered personally, by e-mail, or sent by a nationally recognized overnight courier service, addressed to the Company, at 501 E. Las Olas Blvd., Suite 300, Fort Lauderdale, FL 33301, Attention: Holger Weiss, Chief Executive Officer, email address: [***], or such other email address or address as the Company may specify for such purposes by notice to the Holder. Any and all notices or other communications or deliveries to be provided by the Company hereunder shall be in writing and delivered personally, by e-mail, or sent by a nationally recognized overnight courier service addressed to the Holder at the e-mail address or address of the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on or prior to 5:30 p.m. (New York City time) on a Trading Day,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as determined in the Company’s sole and absolute discretion, the Company shall simultaneously file such notice with the Commission pursuant to a Current Report on Form 8-K. </w:t>
      </w:r>
    </w:p>
    <w:p>
      <w:pPr>
        <w:pStyle w:val="TextBody"/>
        <w:bidi w:val="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Limitation of Liability</w:t>
      </w:r>
      <w:r>
        <w:rPr>
          <w:rFonts w:ascii="Times New Roman" w:hAnsi="Times New Roman"/>
          <w:color w:val="000000"/>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jc w:val="both"/>
        <w:rPr>
          <w:rFonts w:ascii="Times New Roman" w:hAnsi="Times New Roman"/>
          <w:sz w:val="20"/>
        </w:rPr>
      </w:pPr>
      <w:r>
        <w:rPr>
          <w:rFonts w:ascii="Times New Roman" w:hAnsi="Times New Roman"/>
          <w:color w:val="000000"/>
          <w:sz w:val="20"/>
        </w:rPr>
        <w:t xml:space="preserve">j) </w:t>
      </w:r>
      <w:r>
        <w:rPr>
          <w:rFonts w:ascii="Times New Roman" w:hAnsi="Times New Roman"/>
          <w:color w:val="000000"/>
          <w:sz w:val="20"/>
          <w:u w:val="single"/>
        </w:rPr>
        <w:t>Remedies</w:t>
      </w:r>
      <w:r>
        <w:rPr>
          <w:rFonts w:ascii="Times New Roman" w:hAnsi="Times New Roman"/>
          <w:color w:val="000000"/>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k) </w:t>
      </w:r>
      <w:r>
        <w:rPr>
          <w:rFonts w:ascii="Times New Roman" w:hAnsi="Times New Roman"/>
          <w:color w:val="000000"/>
          <w:sz w:val="20"/>
          <w:u w:val="single"/>
        </w:rPr>
        <w:t>Successors and Assigns</w:t>
      </w:r>
      <w:r>
        <w:rPr>
          <w:rFonts w:ascii="Times New Roman" w:hAnsi="Times New Roman"/>
          <w:color w:val="000000"/>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jc w:val="both"/>
        <w:rPr>
          <w:rFonts w:ascii="Times New Roman" w:hAnsi="Times New Roman"/>
          <w:sz w:val="20"/>
        </w:rPr>
      </w:pPr>
      <w:r>
        <w:rPr>
          <w:rFonts w:ascii="Times New Roman" w:hAnsi="Times New Roman"/>
          <w:color w:val="000000"/>
          <w:sz w:val="20"/>
        </w:rPr>
        <w:t xml:space="preserve">l) </w:t>
      </w:r>
      <w:r>
        <w:rPr>
          <w:rFonts w:ascii="Times New Roman" w:hAnsi="Times New Roman"/>
          <w:color w:val="000000"/>
          <w:sz w:val="20"/>
          <w:u w:val="single"/>
        </w:rPr>
        <w:t>Amendment</w:t>
      </w:r>
      <w:r>
        <w:rPr>
          <w:rFonts w:ascii="Times New Roman" w:hAnsi="Times New Roman"/>
          <w:color w:val="000000"/>
          <w:sz w:val="20"/>
        </w:rPr>
        <w:t>. This Warrant may be modified or amended or the provisions hereof waived with the written consent of the Company, on the one hand, and the Holder of this Warrant, on the other hand.</w:t>
      </w:r>
    </w:p>
    <w:p>
      <w:pPr>
        <w:pStyle w:val="TextBody"/>
        <w:bidi w:val="0"/>
        <w:jc w:val="both"/>
        <w:rPr>
          <w:rFonts w:ascii="Times New Roman" w:hAnsi="Times New Roman"/>
          <w:sz w:val="20"/>
        </w:rPr>
      </w:pPr>
      <w:r>
        <w:rPr>
          <w:rFonts w:ascii="Times New Roman" w:hAnsi="Times New Roman"/>
          <w:color w:val="000000"/>
          <w:sz w:val="20"/>
        </w:rPr>
        <w:t xml:space="preserve">m) </w:t>
      </w:r>
      <w:r>
        <w:rPr>
          <w:rFonts w:ascii="Times New Roman" w:hAnsi="Times New Roman"/>
          <w:color w:val="000000"/>
          <w:sz w:val="20"/>
          <w:u w:val="single"/>
        </w:rPr>
        <w:t>Severability</w:t>
      </w:r>
      <w:r>
        <w:rPr>
          <w:rFonts w:ascii="Times New Roman" w:hAnsi="Times New Roman"/>
          <w:color w:val="000000"/>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jc w:val="both"/>
        <w:rPr>
          <w:rFonts w:ascii="Times New Roman" w:hAnsi="Times New Roman"/>
          <w:sz w:val="20"/>
        </w:rPr>
      </w:pPr>
      <w:r>
        <w:rPr>
          <w:rFonts w:ascii="Times New Roman" w:hAnsi="Times New Roman"/>
          <w:color w:val="000000"/>
          <w:sz w:val="20"/>
        </w:rPr>
        <w:t xml:space="preserve">n) </w:t>
      </w:r>
      <w:r>
        <w:rPr>
          <w:rFonts w:ascii="Times New Roman" w:hAnsi="Times New Roman"/>
          <w:color w:val="000000"/>
          <w:sz w:val="20"/>
          <w:u w:val="single"/>
        </w:rPr>
        <w:t>Headings</w:t>
      </w:r>
      <w:r>
        <w:rPr>
          <w:rFonts w:ascii="Times New Roman" w:hAnsi="Times New Roman"/>
          <w:color w:val="000000"/>
          <w:sz w:val="20"/>
        </w:rPr>
        <w:t>. The headings used in this Warrant are for the convenience of reference only and shall not, for any purpose, be deemed a part of this Warrant.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 </w:t>
      </w:r>
      <w:r>
        <w:rPr>
          <w:rFonts w:ascii="Times New Roman" w:hAnsi="Times New Roman"/>
          <w:color w:val="000000"/>
          <w:sz w:val="20"/>
          <w:u w:val="single"/>
        </w:rPr>
        <w:t>Currency</w:t>
      </w:r>
      <w:r>
        <w:rPr>
          <w:rFonts w:ascii="Times New Roman" w:hAnsi="Times New Roman"/>
          <w:color w:val="000000"/>
          <w:sz w:val="20"/>
        </w:rPr>
        <w:t>. All dollar amounts referred to in this Warrant are in United States Dollars (“U.S. Dollars”). All amounts owing under this Warrant shall be paid in U.S. Dollars. All amounts denominated in other currencies shall be converted in the U.S. Dollar equivalent amount in accordance with the Exchange Rate on the date of calculation. “Exchange Rate” means, in relation to any amount of currency to be converted into U.S. Dollars pursuant to this Warrant, the U.S. Dollar exchange rate as published in the Wall Street Journal (NY edition) on the relevant date of calculation.</w:t>
      </w:r>
    </w:p>
    <w:p>
      <w:pPr>
        <w:pStyle w:val="TextBody"/>
        <w:bidi w:val="0"/>
        <w:jc w:val="center"/>
        <w:rPr>
          <w:rFonts w:ascii="Times New Roman" w:hAnsi="Times New Roman"/>
          <w:color w:val="000000"/>
          <w:sz w:val="20"/>
        </w:rPr>
      </w:pPr>
      <w:r>
        <w:rPr>
          <w:rFonts w:ascii="Times New Roman" w:hAnsi="Times New Roman"/>
          <w:color w:val="000000"/>
          <w:sz w:val="20"/>
        </w:rPr>
        <w:t>********************</w:t>
      </w:r>
    </w:p>
    <w:p>
      <w:pPr>
        <w:pStyle w:val="TextBody"/>
        <w:bidi w:val="0"/>
        <w:jc w:val="center"/>
        <w:rPr>
          <w:rFonts w:ascii="Times New Roman" w:hAnsi="Times New Roman"/>
          <w:i/>
          <w:color w:val="000000"/>
          <w:sz w:val="20"/>
        </w:rPr>
      </w:pPr>
      <w:r>
        <w:rPr>
          <w:rFonts w:ascii="Times New Roman" w:hAnsi="Times New Roman"/>
          <w:i/>
          <w:color w:val="000000"/>
          <w:sz w:val="20"/>
        </w:rPr>
        <w:t>(Signature Page Follows)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Company has caused this Warrant to be executed by its officer thereunto duly authorized as of the date first above indicated.</w:t>
      </w:r>
    </w:p>
    <w:tbl>
      <w:tblPr>
        <w:tblW w:w="3259" w:type="dxa"/>
        <w:jc w:val="left"/>
        <w:tblInd w:w="0" w:type="dxa"/>
        <w:tblLayout w:type="fixed"/>
        <w:tblCellMar>
          <w:top w:w="28" w:type="dxa"/>
          <w:left w:w="28" w:type="dxa"/>
          <w:bottom w:w="28" w:type="dxa"/>
          <w:right w:w="28" w:type="dxa"/>
        </w:tblCellMar>
      </w:tblPr>
      <w:tblGrid>
        <w:gridCol w:w="124"/>
        <w:gridCol w:w="2125"/>
        <w:gridCol w:w="1010"/>
      </w:tblGrid>
      <w:tr>
        <w:trPr/>
        <w:tc>
          <w:tcPr>
            <w:tcW w:w="124"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ALAUNOS THERAPEUTICS,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w:t>
            </w:r>
          </w:p>
        </w:tc>
        <w:tc>
          <w:tcPr>
            <w:tcW w:w="10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aps/>
          <w:color w:val="000000"/>
          <w:sz w:val="20"/>
        </w:rPr>
      </w:pPr>
      <w:r>
        <w:rPr>
          <w:rFonts w:ascii="Times New Roman" w:hAnsi="Times New Roman"/>
          <w:b/>
          <w:caps/>
          <w:color w:val="000000"/>
          <w:sz w:val="20"/>
        </w:rPr>
        <w:t>Exhibit A</w:t>
      </w:r>
    </w:p>
    <w:p>
      <w:pPr>
        <w:pStyle w:val="TextBody"/>
        <w:bidi w:val="0"/>
        <w:jc w:val="center"/>
        <w:rPr>
          <w:rFonts w:ascii="Times New Roman" w:hAnsi="Times New Roman"/>
          <w:b/>
          <w:color w:val="000000"/>
          <w:sz w:val="20"/>
        </w:rPr>
      </w:pPr>
      <w:r>
        <w:rPr>
          <w:rFonts w:ascii="Times New Roman" w:hAnsi="Times New Roman"/>
          <w:b/>
          <w:color w:val="000000"/>
          <w:sz w:val="20"/>
        </w:rPr>
        <w:t>NOTICE OF EXERCISE</w:t>
      </w:r>
    </w:p>
    <w:p>
      <w:pPr>
        <w:pStyle w:val="TextBody"/>
        <w:bidi w:val="0"/>
        <w:jc w:val="both"/>
        <w:rPr>
          <w:rFonts w:ascii="Times New Roman" w:hAnsi="Times New Roman"/>
          <w:sz w:val="20"/>
        </w:rPr>
      </w:pPr>
      <w:r>
        <w:rPr>
          <w:rFonts w:ascii="Times New Roman" w:hAnsi="Times New Roman"/>
          <w:color w:val="000000"/>
          <w:sz w:val="20"/>
        </w:rPr>
        <w:t xml:space="preserve">TO: </w:t>
      </w:r>
      <w:r>
        <w:rPr>
          <w:rFonts w:ascii="Times New Roman" w:hAnsi="Times New Roman"/>
          <w:b/>
          <w:color w:val="000000"/>
          <w:sz w:val="20"/>
        </w:rPr>
        <w:t>ALAUNOS THERAPEUTICS, INC.</w:t>
      </w:r>
    </w:p>
    <w:p>
      <w:pPr>
        <w:pStyle w:val="TextBody"/>
        <w:bidi w:val="0"/>
        <w:jc w:val="both"/>
        <w:rPr>
          <w:rFonts w:ascii="Times New Roman" w:hAnsi="Times New Roman"/>
          <w:color w:val="000000"/>
          <w:sz w:val="20"/>
        </w:rPr>
      </w:pPr>
      <w:r>
        <w:rPr>
          <w:rFonts w:ascii="Times New Roman" w:hAnsi="Times New Roman"/>
          <w:color w:val="000000"/>
          <w:sz w:val="20"/>
        </w:rPr>
        <w:t>(1) The undersigned hereby elects to purchase [●] Warrant Shares of the Company pursuant to the terms of the attached Warrant (only if exercised in full), and tenders herewith payment of the exercise price in full, together with all applicable transfer taxes, if any.</w:t>
      </w:r>
    </w:p>
    <w:p>
      <w:pPr>
        <w:pStyle w:val="TextBody"/>
        <w:bidi w:val="0"/>
        <w:jc w:val="both"/>
        <w:rPr>
          <w:rFonts w:ascii="Times New Roman" w:hAnsi="Times New Roman"/>
          <w:color w:val="000000"/>
          <w:sz w:val="20"/>
        </w:rPr>
      </w:pPr>
      <w:r>
        <w:rPr>
          <w:rFonts w:ascii="Times New Roman" w:hAnsi="Times New Roman"/>
          <w:color w:val="000000"/>
          <w:sz w:val="20"/>
        </w:rPr>
        <w:t>(2) Payment shall take the form of (check applicable box):</w:t>
      </w:r>
    </w:p>
    <w:p>
      <w:pPr>
        <w:pStyle w:val="TextBody"/>
        <w:bidi w:val="0"/>
        <w:jc w:val="both"/>
        <w:rPr>
          <w:rFonts w:ascii="Times New Roman" w:hAnsi="Times New Roman"/>
          <w:color w:val="000000"/>
          <w:sz w:val="20"/>
        </w:rPr>
      </w:pPr>
      <w:r>
        <w:rPr>
          <w:rFonts w:ascii="Times New Roman" w:hAnsi="Times New Roman"/>
          <w:color w:val="000000"/>
          <w:sz w:val="20"/>
        </w:rPr>
        <w:t>[ ] in lawful money of the United States; or</w:t>
      </w:r>
    </w:p>
    <w:p>
      <w:pPr>
        <w:pStyle w:val="TextBody"/>
        <w:bidi w:val="0"/>
        <w:jc w:val="both"/>
        <w:rPr>
          <w:rFonts w:ascii="Times New Roman" w:hAnsi="Times New Roman"/>
          <w:color w:val="000000"/>
          <w:sz w:val="20"/>
        </w:rPr>
      </w:pPr>
      <w:r>
        <w:rPr>
          <w:rFonts w:ascii="Times New Roman" w:hAnsi="Times New Roman"/>
          <w:color w:val="000000"/>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jc w:val="both"/>
        <w:rPr>
          <w:rFonts w:ascii="Times New Roman" w:hAnsi="Times New Roman"/>
          <w:color w:val="000000"/>
          <w:sz w:val="20"/>
        </w:rPr>
      </w:pPr>
      <w:r>
        <w:rPr>
          <w:rFonts w:ascii="Times New Roman" w:hAnsi="Times New Roman"/>
          <w:color w:val="000000"/>
          <w:sz w:val="20"/>
        </w:rPr>
        <w:t>(3) Please issue said Warrant Shares in the name of the undersigned or in such other name as is specified below:</w:t>
      </w:r>
    </w:p>
    <w:p>
      <w:pPr>
        <w:pStyle w:val="TextBody"/>
        <w:bidi w:val="0"/>
        <w:jc w:val="both"/>
        <w:rPr>
          <w:rFonts w:ascii="Times New Roman" w:hAnsi="Times New Roman"/>
          <w:color w:val="000000"/>
          <w:sz w:val="20"/>
        </w:rPr>
      </w:pPr>
      <w:r>
        <w:rPr>
          <w:rFonts w:ascii="Times New Roman" w:hAnsi="Times New Roman"/>
          <w:color w:val="000000"/>
          <w:sz w:val="20"/>
        </w:rPr>
        <w:t>_______________________________</w:t>
      </w:r>
    </w:p>
    <w:p>
      <w:pPr>
        <w:pStyle w:val="TextBody"/>
        <w:bidi w:val="0"/>
        <w:jc w:val="both"/>
        <w:rPr>
          <w:rFonts w:ascii="Times New Roman" w:hAnsi="Times New Roman"/>
          <w:color w:val="000000"/>
          <w:sz w:val="20"/>
        </w:rPr>
      </w:pPr>
      <w:r>
        <w:rPr>
          <w:rFonts w:ascii="Times New Roman" w:hAnsi="Times New Roman"/>
          <w:color w:val="000000"/>
          <w:sz w:val="20"/>
        </w:rPr>
        <w:t>The Warrant Shares shall be delivered to the following DWAC Account Number:</w:t>
      </w:r>
    </w:p>
    <w:p>
      <w:pPr>
        <w:pStyle w:val="TextBody"/>
        <w:bidi w:val="0"/>
        <w:jc w:val="both"/>
        <w:rPr>
          <w:rFonts w:ascii="Times New Roman" w:hAnsi="Times New Roman"/>
          <w:color w:val="000000"/>
          <w:sz w:val="20"/>
        </w:rPr>
      </w:pPr>
      <w:r>
        <w:rPr>
          <w:rFonts w:ascii="Times New Roman" w:hAnsi="Times New Roman"/>
          <w:color w:val="000000"/>
          <w:sz w:val="20"/>
        </w:rPr>
        <w:t>_______________________________</w:t>
      </w:r>
    </w:p>
    <w:p>
      <w:pPr>
        <w:pStyle w:val="TextBody"/>
        <w:bidi w:val="0"/>
        <w:jc w:val="both"/>
        <w:rPr>
          <w:rFonts w:ascii="Times New Roman" w:hAnsi="Times New Roman"/>
          <w:color w:val="000000"/>
          <w:sz w:val="20"/>
        </w:rPr>
      </w:pPr>
      <w:r>
        <w:rPr>
          <w:rFonts w:ascii="Times New Roman" w:hAnsi="Times New Roman"/>
          <w:color w:val="000000"/>
          <w:sz w:val="20"/>
        </w:rPr>
        <w:t>_______________________________</w:t>
      </w:r>
    </w:p>
    <w:p>
      <w:pPr>
        <w:pStyle w:val="TextBody"/>
        <w:bidi w:val="0"/>
        <w:jc w:val="both"/>
        <w:rPr>
          <w:rFonts w:ascii="Times New Roman" w:hAnsi="Times New Roman"/>
          <w:color w:val="000000"/>
          <w:sz w:val="20"/>
        </w:rPr>
      </w:pPr>
      <w:r>
        <w:rPr>
          <w:rFonts w:ascii="Times New Roman" w:hAnsi="Times New Roman"/>
          <w:color w:val="000000"/>
          <w:sz w:val="20"/>
        </w:rPr>
        <w:t>_______________________________</w:t>
      </w:r>
    </w:p>
    <w:p>
      <w:pPr>
        <w:pStyle w:val="TextBody"/>
        <w:bidi w:val="0"/>
        <w:jc w:val="center"/>
        <w:rPr>
          <w:rFonts w:ascii="Times New Roman" w:hAnsi="Times New Roman"/>
          <w:color w:val="000000"/>
          <w:sz w:val="20"/>
        </w:rPr>
      </w:pPr>
      <w:r>
        <w:rPr>
          <w:rFonts w:ascii="Times New Roman" w:hAnsi="Times New Roman"/>
          <w:color w:val="000000"/>
          <w:sz w:val="20"/>
        </w:rPr>
        <w:t>[SIGNATURE OF HOLDER]</w:t>
      </w:r>
    </w:p>
    <w:p>
      <w:pPr>
        <w:pStyle w:val="TextBody"/>
        <w:bidi w:val="0"/>
        <w:jc w:val="both"/>
        <w:rPr>
          <w:rFonts w:ascii="Times New Roman" w:hAnsi="Times New Roman"/>
          <w:color w:val="000000"/>
          <w:sz w:val="20"/>
        </w:rPr>
      </w:pPr>
      <w:r>
        <w:rPr>
          <w:rFonts w:ascii="Times New Roman" w:hAnsi="Times New Roman"/>
          <w:color w:val="000000"/>
          <w:sz w:val="20"/>
        </w:rPr>
        <w:t>Name of Investing Entity: ______________________________________________________</w:t>
      </w:r>
    </w:p>
    <w:p>
      <w:pPr>
        <w:pStyle w:val="TextBody"/>
        <w:bidi w:val="0"/>
        <w:jc w:val="both"/>
        <w:rPr>
          <w:rFonts w:ascii="Times New Roman" w:hAnsi="Times New Roman"/>
          <w:sz w:val="20"/>
        </w:rPr>
      </w:pPr>
      <w:r>
        <w:rPr>
          <w:rFonts w:ascii="Times New Roman" w:hAnsi="Times New Roman"/>
          <w:i/>
          <w:color w:val="000000"/>
          <w:sz w:val="20"/>
        </w:rPr>
        <w:t>Signature of Authorized Signatory of Investing Entity</w:t>
      </w:r>
      <w:r>
        <w:rPr>
          <w:rFonts w:ascii="Times New Roman" w:hAnsi="Times New Roman"/>
          <w:color w:val="000000"/>
          <w:sz w:val="20"/>
        </w:rPr>
        <w:t>: _________________________________</w:t>
      </w:r>
    </w:p>
    <w:p>
      <w:pPr>
        <w:pStyle w:val="TextBody"/>
        <w:bidi w:val="0"/>
        <w:jc w:val="both"/>
        <w:rPr>
          <w:rFonts w:ascii="Times New Roman" w:hAnsi="Times New Roman"/>
          <w:color w:val="000000"/>
          <w:sz w:val="20"/>
        </w:rPr>
      </w:pPr>
      <w:r>
        <w:rPr>
          <w:rFonts w:ascii="Times New Roman" w:hAnsi="Times New Roman"/>
          <w:color w:val="000000"/>
          <w:sz w:val="20"/>
        </w:rPr>
        <w:t>Name of Authorized Signatory: ___________________________________________________</w:t>
      </w:r>
    </w:p>
    <w:p>
      <w:pPr>
        <w:pStyle w:val="TextBody"/>
        <w:bidi w:val="0"/>
        <w:jc w:val="both"/>
        <w:rPr>
          <w:rFonts w:ascii="Times New Roman" w:hAnsi="Times New Roman"/>
          <w:color w:val="000000"/>
          <w:sz w:val="20"/>
        </w:rPr>
      </w:pPr>
      <w:r>
        <w:rPr>
          <w:rFonts w:ascii="Times New Roman" w:hAnsi="Times New Roman"/>
          <w:color w:val="000000"/>
          <w:sz w:val="20"/>
        </w:rPr>
        <w:t>Title of Authorized Signatory: ____________________________________________________</w:t>
      </w:r>
    </w:p>
    <w:p>
      <w:pPr>
        <w:pStyle w:val="TextBody"/>
        <w:bidi w:val="0"/>
        <w:jc w:val="both"/>
        <w:rPr>
          <w:rFonts w:ascii="Times New Roman" w:hAnsi="Times New Roman"/>
          <w:color w:val="000000"/>
          <w:sz w:val="20"/>
        </w:rPr>
      </w:pPr>
      <w:r>
        <w:rPr>
          <w:rFonts w:ascii="Times New Roman" w:hAnsi="Times New Roman"/>
          <w:color w:val="000000"/>
          <w:sz w:val="20"/>
        </w:rPr>
        <w:t>Date: ________________________________________________________________________</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B</w:t>
      </w:r>
    </w:p>
    <w:p>
      <w:pPr>
        <w:pStyle w:val="TextBody"/>
        <w:bidi w:val="0"/>
        <w:jc w:val="center"/>
        <w:rPr>
          <w:rFonts w:ascii="Times New Roman" w:hAnsi="Times New Roman"/>
          <w:color w:val="000000"/>
          <w:sz w:val="20"/>
        </w:rPr>
      </w:pPr>
      <w:r>
        <w:rPr>
          <w:rFonts w:ascii="Times New Roman" w:hAnsi="Times New Roman"/>
          <w:color w:val="000000"/>
          <w:sz w:val="20"/>
        </w:rPr>
        <w:t>ASSIGNMENT FORM</w:t>
      </w:r>
    </w:p>
    <w:p>
      <w:pPr>
        <w:pStyle w:val="TextBody"/>
        <w:bidi w:val="0"/>
        <w:jc w:val="both"/>
        <w:rPr>
          <w:rFonts w:ascii="Times New Roman" w:hAnsi="Times New Roman"/>
          <w:i/>
          <w:color w:val="000000"/>
          <w:sz w:val="20"/>
        </w:rPr>
      </w:pPr>
      <w:r>
        <w:rPr>
          <w:rFonts w:ascii="Times New Roman" w:hAnsi="Times New Roman"/>
          <w:i/>
          <w:color w:val="000000"/>
          <w:sz w:val="20"/>
        </w:rPr>
        <w:t>(To assign the foregoing Warrant, execute this form and supply required information. Do not use this form to exercise the Warrant to purchase shares.)</w:t>
      </w:r>
    </w:p>
    <w:p>
      <w:pPr>
        <w:pStyle w:val="TextBody"/>
        <w:bidi w:val="0"/>
        <w:jc w:val="both"/>
        <w:rPr>
          <w:rFonts w:ascii="Times New Roman" w:hAnsi="Times New Roman"/>
          <w:color w:val="000000"/>
          <w:sz w:val="20"/>
        </w:rPr>
      </w:pPr>
      <w:r>
        <w:rPr>
          <w:rFonts w:ascii="Times New Roman" w:hAnsi="Times New Roman"/>
          <w:color w:val="000000"/>
          <w:sz w:val="20"/>
        </w:rPr>
        <w:t>FOR VALUE RECEIVED, the foregoing Warrant and all rights evidenced thereby are hereby assigned to</w:t>
      </w:r>
    </w:p>
    <w:tbl>
      <w:tblPr>
        <w:tblW w:w="4580" w:type="dxa"/>
        <w:jc w:val="left"/>
        <w:tblInd w:w="0" w:type="dxa"/>
        <w:tblLayout w:type="fixed"/>
        <w:tblCellMar>
          <w:top w:w="28" w:type="dxa"/>
          <w:left w:w="28" w:type="dxa"/>
          <w:bottom w:w="28" w:type="dxa"/>
          <w:right w:w="28" w:type="dxa"/>
        </w:tblCellMar>
      </w:tblPr>
      <w:tblGrid>
        <w:gridCol w:w="2904"/>
        <w:gridCol w:w="351"/>
        <w:gridCol w:w="109"/>
        <w:gridCol w:w="1216"/>
      </w:tblGrid>
      <w:tr>
        <w:trPr/>
        <w:tc>
          <w:tcPr>
            <w:tcW w:w="290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9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(Please Print)</w:t>
            </w:r>
          </w:p>
        </w:tc>
      </w:tr>
      <w:tr>
        <w:trPr/>
        <w:tc>
          <w:tcPr>
            <w:tcW w:w="29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Address:</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(Please Print)</w:t>
            </w:r>
          </w:p>
        </w:tc>
      </w:tr>
      <w:tr>
        <w:trPr/>
        <w:tc>
          <w:tcPr>
            <w:tcW w:w="29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Phone Number:</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Email Address:</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Dated: _______________ __, ______</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Holder’s Signature: </w:t>
            </w:r>
          </w:p>
        </w:tc>
        <w:tc>
          <w:tcPr>
            <w:tcW w:w="3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Holder’s Address: </w:t>
            </w:r>
          </w:p>
        </w:tc>
        <w:tc>
          <w:tcPr>
            <w:tcW w:w="3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 w:name="tcrt-ex5_1.htm"/>
      <w:bookmarkStart w:id="5" w:name="kstcrtex5_1"/>
      <w:bookmarkEnd w:id="4"/>
      <w:bookmarkEnd w:id="5"/>
      <w:r>
        <w:rPr/>
        <w:drawing>
          <wp:inline distT="0" distB="0" distL="0" distR="0">
            <wp:extent cx="181927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19275" cy="762000"/>
                    </a:xfrm>
                    <a:prstGeom prst="rect">
                      <a:avLst/>
                    </a:prstGeom>
                  </pic:spPr>
                </pic:pic>
              </a:graphicData>
            </a:graphic>
          </wp:inline>
        </w:drawing>
      </w:r>
      <w:r>
        <w:br w:type="page"/>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5.1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September 22, 2026</w:t>
      </w:r>
    </w:p>
    <w:p>
      <w:pPr>
        <w:pStyle w:val="TextBody"/>
        <w:bidi w:val="0"/>
        <w:jc w:val="left"/>
        <w:rPr>
          <w:rFonts w:ascii="Times New Roman" w:hAnsi="Times New Roman"/>
          <w:color w:val="000000"/>
          <w:sz w:val="20"/>
        </w:rPr>
      </w:pPr>
      <w:r>
        <w:rPr>
          <w:rFonts w:ascii="Times New Roman" w:hAnsi="Times New Roman"/>
          <w:color w:val="000000"/>
          <w:sz w:val="20"/>
        </w:rPr>
        <w:t>Alaunos Therapeutics, Inc.</w:t>
      </w:r>
    </w:p>
    <w:p>
      <w:pPr>
        <w:pStyle w:val="TextBody"/>
        <w:bidi w:val="0"/>
        <w:jc w:val="left"/>
        <w:rPr>
          <w:rFonts w:ascii="Times New Roman" w:hAnsi="Times New Roman"/>
          <w:color w:val="000000"/>
          <w:sz w:val="20"/>
        </w:rPr>
      </w:pPr>
      <w:r>
        <w:rPr>
          <w:rFonts w:ascii="Times New Roman" w:hAnsi="Times New Roman"/>
          <w:color w:val="000000"/>
          <w:sz w:val="20"/>
        </w:rPr>
        <w:t>501 E. Las Olas Blvd., Suite 300</w:t>
      </w:r>
    </w:p>
    <w:p>
      <w:pPr>
        <w:pStyle w:val="TextBody"/>
        <w:bidi w:val="0"/>
        <w:jc w:val="left"/>
        <w:rPr>
          <w:rFonts w:ascii="Times New Roman" w:hAnsi="Times New Roman"/>
          <w:color w:val="000000"/>
          <w:sz w:val="20"/>
        </w:rPr>
      </w:pPr>
      <w:r>
        <w:rPr>
          <w:rFonts w:ascii="Times New Roman" w:hAnsi="Times New Roman"/>
          <w:color w:val="000000"/>
          <w:sz w:val="20"/>
        </w:rPr>
        <w:t>Fort Lauderdale, FL 33301</w:t>
      </w:r>
    </w:p>
    <w:p>
      <w:pPr>
        <w:pStyle w:val="TextBody"/>
        <w:bidi w:val="0"/>
        <w:jc w:val="left"/>
        <w:rPr>
          <w:rFonts w:ascii="Times New Roman" w:hAnsi="Times New Roman"/>
          <w:color w:val="000000"/>
          <w:sz w:val="20"/>
        </w:rPr>
      </w:pPr>
      <w:r>
        <w:rPr>
          <w:rFonts w:ascii="Times New Roman" w:hAnsi="Times New Roman"/>
          <w:color w:val="000000"/>
          <w:sz w:val="20"/>
        </w:rPr>
        <w:t>Re: Registered Direct Offering Pursuant to Registration Statement on Form S-3</w:t>
      </w:r>
    </w:p>
    <w:p>
      <w:pPr>
        <w:pStyle w:val="TextBody"/>
        <w:bidi w:val="0"/>
        <w:jc w:val="left"/>
        <w:rPr>
          <w:rFonts w:ascii="Times New Roman" w:hAnsi="Times New Roman"/>
          <w:color w:val="000000"/>
          <w:sz w:val="20"/>
        </w:rPr>
      </w:pPr>
      <w:r>
        <w:rPr>
          <w:rFonts w:ascii="Times New Roman" w:hAnsi="Times New Roman"/>
          <w:color w:val="000000"/>
          <w:sz w:val="20"/>
        </w:rPr>
        <w:t>Ladies and Gentlemen:</w:t>
      </w:r>
    </w:p>
    <w:p>
      <w:pPr>
        <w:pStyle w:val="TextBody"/>
        <w:bidi w:val="0"/>
        <w:jc w:val="left"/>
        <w:rPr>
          <w:rFonts w:ascii="Times New Roman" w:hAnsi="Times New Roman"/>
          <w:color w:val="000000"/>
          <w:sz w:val="20"/>
        </w:rPr>
      </w:pPr>
      <w:r>
        <w:rPr>
          <w:rFonts w:ascii="Times New Roman" w:hAnsi="Times New Roman"/>
          <w:color w:val="000000"/>
          <w:sz w:val="20"/>
        </w:rPr>
        <w:t>We have acted as counsel to Alaunos Therapeutics, Inc., a Delaware corporation (the “Company”), in connection with the Securities Purchase Agreement dated September 18, 2026 (the “Purchase Agreement”), by and between the Company and the purchasers signatories thereto (the “Purchasers”), relating to the issuance and sale by the Company to the Purchasers of (i) 380,469 shares (the “Shares”) of common stock, par value $0.001 per share, of the Company (the “Common Stock”), and (ii) pre-funded warrants (the “Pre-Funded Warrants”) to purchase 386,654 shares of Common Stock.</w:t>
      </w:r>
    </w:p>
    <w:p>
      <w:pPr>
        <w:pStyle w:val="TextBody"/>
        <w:bidi w:val="0"/>
        <w:jc w:val="left"/>
        <w:rPr>
          <w:rFonts w:ascii="Times New Roman" w:hAnsi="Times New Roman"/>
          <w:color w:val="000000"/>
          <w:sz w:val="20"/>
        </w:rPr>
      </w:pPr>
      <w:r>
        <w:rPr>
          <w:rFonts w:ascii="Times New Roman" w:hAnsi="Times New Roman"/>
          <w:color w:val="000000"/>
          <w:sz w:val="20"/>
        </w:rPr>
        <w:t>This opinion is being delivered in accordance with the requirements of Item 601(b)(5) of Regulation S-K under the Securities Act of 1933, as amended (the “Securities Act”).</w:t>
      </w:r>
    </w:p>
    <w:p>
      <w:pPr>
        <w:pStyle w:val="TextBody"/>
        <w:bidi w:val="0"/>
        <w:jc w:val="left"/>
        <w:rPr>
          <w:rFonts w:ascii="Times New Roman" w:hAnsi="Times New Roman"/>
          <w:color w:val="000000"/>
          <w:sz w:val="20"/>
        </w:rPr>
      </w:pPr>
      <w:r>
        <w:rPr>
          <w:rFonts w:ascii="Times New Roman" w:hAnsi="Times New Roman"/>
          <w:color w:val="000000"/>
          <w:sz w:val="20"/>
        </w:rPr>
        <w:t>In connection with this opinion, we have examined originals or copies, certified or otherwise identified to our satisfaction, of the following:</w:t>
      </w:r>
    </w:p>
    <w:tbl>
      <w:tblPr>
        <w:tblW w:w="10205" w:type="dxa"/>
        <w:jc w:val="left"/>
        <w:tblInd w:w="0" w:type="dxa"/>
        <w:tblLayout w:type="fixed"/>
        <w:tblCellMar>
          <w:top w:w="28" w:type="dxa"/>
          <w:left w:w="28" w:type="dxa"/>
          <w:bottom w:w="28" w:type="dxa"/>
          <w:right w:w="28" w:type="dxa"/>
        </w:tblCellMar>
      </w:tblPr>
      <w:tblGrid>
        <w:gridCol w:w="242"/>
        <w:gridCol w:w="9963"/>
      </w:tblGrid>
      <w:tr>
        <w:trPr/>
        <w:tc>
          <w:tcPr>
            <w:tcW w:w="242" w:type="dxa"/>
            <w:tcBorders/>
            <w:vAlign w:val="center"/>
          </w:tcPr>
          <w:p>
            <w:pPr>
              <w:pStyle w:val="TableContents"/>
              <w:bidi w:val="0"/>
              <w:spacing w:before="0" w:after="283"/>
              <w:jc w:val="left"/>
              <w:rPr>
                <w:sz w:val="4"/>
                <w:szCs w:val="4"/>
              </w:rPr>
            </w:pPr>
            <w:r>
              <w:rPr>
                <w:sz w:val="4"/>
                <w:szCs w:val="4"/>
              </w:rPr>
            </w:r>
          </w:p>
        </w:tc>
        <w:tc>
          <w:tcPr>
            <w:tcW w:w="9963" w:type="dxa"/>
            <w:tcBorders/>
            <w:vAlign w:val="center"/>
          </w:tcPr>
          <w:p>
            <w:pPr>
              <w:pStyle w:val="TableContents"/>
              <w:bidi w:val="0"/>
              <w:spacing w:before="0" w:after="283"/>
              <w:jc w:val="left"/>
              <w:rPr>
                <w:sz w:val="4"/>
                <w:szCs w:val="4"/>
              </w:rPr>
            </w:pPr>
            <w:r>
              <w:rPr>
                <w:sz w:val="4"/>
                <w:szCs w:val="4"/>
              </w:rPr>
            </w:r>
          </w:p>
        </w:tc>
      </w:tr>
      <w:tr>
        <w:trPr/>
        <w:tc>
          <w:tcPr>
            <w:tcW w:w="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Third Amended and Restated Certificate of Incorporation of the Company, as amended;</w:t>
            </w:r>
          </w:p>
        </w:tc>
      </w:tr>
      <w:tr>
        <w:trPr/>
        <w:tc>
          <w:tcPr>
            <w:tcW w:w="242" w:type="dxa"/>
            <w:tcBorders/>
            <w:tcMar>
              <w:top w:w="0" w:type="dxa"/>
              <w:left w:w="0" w:type="dxa"/>
              <w:bottom w:w="0" w:type="dxa"/>
              <w:right w:w="0" w:type="dxa"/>
            </w:tcMar>
            <w:vAlign w:val="center"/>
          </w:tcPr>
          <w:p>
            <w:pPr>
              <w:pStyle w:val="TableContents"/>
              <w:bidi w:val="0"/>
              <w:spacing w:before="0" w:after="283"/>
              <w:jc w:val="left"/>
              <w:rPr/>
            </w:pPr>
            <w:r>
              <w:rPr/>
              <w:t> </w:t>
            </w:r>
          </w:p>
        </w:tc>
        <w:tc>
          <w:tcPr>
            <w:tcW w:w="99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Amended and Restated Bylaws of the Company;</w:t>
            </w:r>
          </w:p>
        </w:tc>
      </w:tr>
      <w:tr>
        <w:trPr/>
        <w:tc>
          <w:tcPr>
            <w:tcW w:w="242" w:type="dxa"/>
            <w:tcBorders/>
            <w:tcMar>
              <w:top w:w="0" w:type="dxa"/>
              <w:left w:w="0" w:type="dxa"/>
              <w:bottom w:w="0" w:type="dxa"/>
              <w:right w:w="0" w:type="dxa"/>
            </w:tcMar>
            <w:vAlign w:val="center"/>
          </w:tcPr>
          <w:p>
            <w:pPr>
              <w:pStyle w:val="TableContents"/>
              <w:bidi w:val="0"/>
              <w:spacing w:before="0" w:after="283"/>
              <w:jc w:val="left"/>
              <w:rPr/>
            </w:pPr>
            <w:r>
              <w:rPr/>
              <w:t> </w:t>
            </w:r>
          </w:p>
        </w:tc>
        <w:tc>
          <w:tcPr>
            <w:tcW w:w="99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Purchase Agreement;</w:t>
            </w:r>
          </w:p>
        </w:tc>
      </w:tr>
      <w:tr>
        <w:trPr/>
        <w:tc>
          <w:tcPr>
            <w:tcW w:w="242" w:type="dxa"/>
            <w:tcBorders/>
            <w:tcMar>
              <w:top w:w="0" w:type="dxa"/>
              <w:left w:w="0" w:type="dxa"/>
              <w:bottom w:w="0" w:type="dxa"/>
              <w:right w:w="0" w:type="dxa"/>
            </w:tcMar>
            <w:vAlign w:val="center"/>
          </w:tcPr>
          <w:p>
            <w:pPr>
              <w:pStyle w:val="TableContents"/>
              <w:bidi w:val="0"/>
              <w:spacing w:before="0" w:after="283"/>
              <w:jc w:val="left"/>
              <w:rPr/>
            </w:pPr>
            <w:r>
              <w:rPr/>
              <w:t> </w:t>
            </w:r>
          </w:p>
        </w:tc>
        <w:tc>
          <w:tcPr>
            <w:tcW w:w="99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9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Registration Statement on Form S-3 ((File No. 333-289748) filed by the Company with the Securities and Exchange Commission (the “Commission”) on November 7, 2025, in the form in which it became effective on November 27, 2025 (the “Registration Statement”) pursuant to the Securities Act;</w:t>
            </w:r>
          </w:p>
        </w:tc>
      </w:tr>
      <w:tr>
        <w:trPr/>
        <w:tc>
          <w:tcPr>
            <w:tcW w:w="242" w:type="dxa"/>
            <w:tcBorders/>
            <w:tcMar>
              <w:top w:w="0" w:type="dxa"/>
              <w:left w:w="0" w:type="dxa"/>
              <w:bottom w:w="0" w:type="dxa"/>
              <w:right w:w="0" w:type="dxa"/>
            </w:tcMar>
            <w:vAlign w:val="center"/>
          </w:tcPr>
          <w:p>
            <w:pPr>
              <w:pStyle w:val="TableContents"/>
              <w:bidi w:val="0"/>
              <w:spacing w:before="0" w:after="283"/>
              <w:jc w:val="left"/>
              <w:rPr/>
            </w:pPr>
            <w:r>
              <w:rPr/>
              <w:t> </w:t>
            </w:r>
          </w:p>
        </w:tc>
        <w:tc>
          <w:tcPr>
            <w:tcW w:w="99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99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prospectus supplement dated September 18, 2026, filed with the Commission pursuant to Rule 424(b)(5) promulgated under the Securities Act (the “Prospectus Supplement”), together with the base prospectus dated November 7, 2025; </w:t>
            </w:r>
          </w:p>
        </w:tc>
      </w:tr>
      <w:tr>
        <w:trPr/>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c>
          <w:tcPr>
            <w:tcW w:w="99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placement agent agreement by and between the Company and Dawson James Securities, Inc. dated September 18, 2026; and</w:t>
            </w:r>
          </w:p>
        </w:tc>
      </w:tr>
      <w:tr>
        <w:trPr/>
        <w:tc>
          <w:tcPr>
            <w:tcW w:w="242" w:type="dxa"/>
            <w:tcBorders/>
            <w:tcMar>
              <w:top w:w="0" w:type="dxa"/>
              <w:left w:w="0" w:type="dxa"/>
              <w:bottom w:w="0" w:type="dxa"/>
              <w:right w:w="0" w:type="dxa"/>
            </w:tcMar>
            <w:vAlign w:val="center"/>
          </w:tcPr>
          <w:p>
            <w:pPr>
              <w:pStyle w:val="TableContents"/>
              <w:bidi w:val="0"/>
              <w:spacing w:before="0" w:after="283"/>
              <w:jc w:val="left"/>
              <w:rPr/>
            </w:pPr>
            <w:r>
              <w:rPr/>
              <w:t> </w:t>
            </w:r>
          </w:p>
        </w:tc>
        <w:tc>
          <w:tcPr>
            <w:tcW w:w="99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w:t>
            </w:r>
          </w:p>
        </w:tc>
        <w:tc>
          <w:tcPr>
            <w:tcW w:w="99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Minutes of a meeting of the Board of Directors of the Company approving the Purchase Agreement and the transactions contemplated thereby.</w:t>
            </w:r>
          </w:p>
        </w:tc>
      </w:tr>
    </w:tbl>
    <w:p>
      <w:pPr>
        <w:pStyle w:val="TextBody"/>
        <w:bidi w:val="0"/>
        <w:jc w:val="left"/>
        <w:rPr>
          <w:rFonts w:ascii="Times New Roman" w:hAnsi="Times New Roman"/>
          <w:color w:val="000000"/>
          <w:sz w:val="20"/>
        </w:rPr>
      </w:pPr>
      <w:r>
        <w:rPr>
          <w:rFonts w:ascii="Times New Roman" w:hAnsi="Times New Roman"/>
          <w:color w:val="000000"/>
          <w:sz w:val="20"/>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pStyle w:val="TextBody"/>
        <w:bidi w:val="0"/>
        <w:jc w:val="center"/>
        <w:rPr>
          <w:rFonts w:ascii="Times New Roman" w:hAnsi="Times New Roman"/>
          <w:sz w:val="20"/>
        </w:rPr>
      </w:pPr>
      <w:r>
        <w:rPr>
          <w:rFonts w:ascii="Times New Roman" w:hAnsi="Times New Roman"/>
          <w:color w:val="000000"/>
          <w:sz w:val="20"/>
        </w:rPr>
        <w:t xml:space="preserve">1185 Avenue of the Americas </w:t>
      </w:r>
      <w:r>
        <w:rPr>
          <w:rFonts w:ascii="Times New Roman" w:hAnsi="Times New Roman"/>
          <w:b/>
          <w:color w:val="000000"/>
          <w:sz w:val="20"/>
        </w:rPr>
        <w:t>|</w:t>
      </w:r>
      <w:r>
        <w:rPr>
          <w:rFonts w:ascii="Times New Roman" w:hAnsi="Times New Roman"/>
          <w:color w:val="000000"/>
          <w:sz w:val="20"/>
        </w:rPr>
        <w:t xml:space="preserve"> 26th Floor </w:t>
      </w:r>
      <w:r>
        <w:rPr>
          <w:rFonts w:ascii="Times New Roman" w:hAnsi="Times New Roman"/>
          <w:b/>
          <w:color w:val="000000"/>
          <w:sz w:val="20"/>
        </w:rPr>
        <w:t>|</w:t>
      </w:r>
      <w:r>
        <w:rPr>
          <w:rFonts w:ascii="Times New Roman" w:hAnsi="Times New Roman"/>
          <w:color w:val="000000"/>
          <w:sz w:val="20"/>
        </w:rPr>
        <w:t xml:space="preserve"> New York, NY </w:t>
      </w:r>
      <w:r>
        <w:rPr>
          <w:rFonts w:ascii="Times New Roman" w:hAnsi="Times New Roman"/>
          <w:b/>
          <w:color w:val="000000"/>
          <w:sz w:val="20"/>
        </w:rPr>
        <w:t>|</w:t>
      </w:r>
      <w:r>
        <w:rPr>
          <w:rFonts w:ascii="Times New Roman" w:hAnsi="Times New Roman"/>
          <w:color w:val="000000"/>
          <w:sz w:val="20"/>
        </w:rPr>
        <w:t xml:space="preserve"> 10036</w:t>
      </w:r>
    </w:p>
    <w:p>
      <w:pPr>
        <w:pStyle w:val="TextBody"/>
        <w:bidi w:val="0"/>
        <w:jc w:val="center"/>
        <w:rPr>
          <w:rFonts w:ascii="Times New Roman" w:hAnsi="Times New Roman"/>
          <w:sz w:val="20"/>
        </w:rPr>
      </w:pPr>
      <w:r>
        <w:rPr>
          <w:rFonts w:ascii="Times New Roman" w:hAnsi="Times New Roman"/>
          <w:color w:val="000000"/>
          <w:sz w:val="20"/>
        </w:rPr>
        <w:t xml:space="preserve">T (212) 930 9700 </w:t>
      </w:r>
      <w:r>
        <w:rPr>
          <w:rFonts w:ascii="Times New Roman" w:hAnsi="Times New Roman"/>
          <w:b/>
          <w:color w:val="000000"/>
          <w:sz w:val="20"/>
        </w:rPr>
        <w:t>|</w:t>
      </w:r>
      <w:r>
        <w:rPr>
          <w:rFonts w:ascii="Times New Roman" w:hAnsi="Times New Roman"/>
          <w:color w:val="000000"/>
          <w:sz w:val="20"/>
        </w:rPr>
        <w:t xml:space="preserve"> F (212) 930 9725 </w:t>
      </w:r>
      <w:r>
        <w:rPr>
          <w:rFonts w:ascii="Times New Roman" w:hAnsi="Times New Roman"/>
          <w:b/>
          <w:color w:val="000000"/>
          <w:sz w:val="20"/>
        </w:rPr>
        <w:t>|</w:t>
      </w:r>
      <w:r>
        <w:rPr>
          <w:rFonts w:ascii="Times New Roman" w:hAnsi="Times New Roman"/>
          <w:color w:val="000000"/>
          <w:sz w:val="20"/>
        </w:rPr>
        <w:t xml:space="preserve"> WWW.SRFC.LAW</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819275" cy="76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19275" cy="7620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our examination, we have assumed the genuineness of all signatures, including endorsements, the legal capacity and competency of all natural persons, the authenticity of all documents submitted to us as originals, the conformity to original documents of all documents submitted to us as facsimile, electronic, certified or photostatic copies, and the authenticity of the originals of such copies. In making our examination of executed documents, we have assumed (i) that the parties thereto, other than the Company, had the power, corporate or other, to enter into and perform all obligations thereunder and (ii) the due authorization by all requisite action, corporate or other, and the execution and delivery by such parties of such documents, and the validity and binding effect thereof on such parties. copies, and the authenticity of the originals of such copies. In making our examination of executed documents, we have assumed (i) that the parties thereto, other than the Company, had the power, corporate or other, to enter into and perform all obligations thereunder and (ii) the due authorization by all requisite action, corporate or other, and the execution and delivery by such parties of such documents, and the validity and binding effect thereof on such parties. </w:t>
      </w:r>
    </w:p>
    <w:p>
      <w:pPr>
        <w:pStyle w:val="TextBody"/>
        <w:bidi w:val="0"/>
        <w:jc w:val="left"/>
        <w:rPr>
          <w:rFonts w:ascii="Times New Roman" w:hAnsi="Times New Roman"/>
          <w:color w:val="000000"/>
          <w:sz w:val="20"/>
        </w:rPr>
      </w:pPr>
      <w:r>
        <w:rPr>
          <w:rFonts w:ascii="Times New Roman" w:hAnsi="Times New Roman"/>
          <w:color w:val="000000"/>
          <w:sz w:val="20"/>
        </w:rPr>
        <w:t>The opinion expressed below is limited to the federal securities laws of the United States of America and the corporate laws of the State of Delaware and we express no opinion as to the effect on the matters covered by the laws of any other jurisdiction.</w:t>
      </w:r>
    </w:p>
    <w:p>
      <w:pPr>
        <w:pStyle w:val="TextBody"/>
        <w:bidi w:val="0"/>
        <w:jc w:val="left"/>
        <w:rPr>
          <w:rFonts w:ascii="Times New Roman" w:hAnsi="Times New Roman"/>
          <w:color w:val="000000"/>
          <w:sz w:val="20"/>
        </w:rPr>
      </w:pPr>
      <w:r>
        <w:rPr>
          <w:rFonts w:ascii="Times New Roman" w:hAnsi="Times New Roman"/>
          <w:color w:val="000000"/>
          <w:sz w:val="20"/>
        </w:rPr>
        <w:t>Based upon and subject to the foregoing, we are of the opinion that: (A) when the Shares have been delivered to and paid for by the Purchasers as contemplated by the Purchase Agreement, the Shares will be duly authorized, validly issued, fully paid and non-assessable; and (B) the Pre-Funded Warrants constitute the valid and binding obligation of the Company, enforceable against the Company in accordance with its terms, subject to applicable bankruptcy, insolvency, fraudulent conveyance, moratorium and similar laws affecting creditors’ rights generally and equitable principles of general applicability and upon exercise, the Common Stock when issued and delivered by the Company against payment therefor in accordance with the terms of the Pre-Funded Warrants, will be duly authorized, validly issued, fully paid and non-assessable.</w:t>
      </w:r>
    </w:p>
    <w:p>
      <w:pPr>
        <w:pStyle w:val="TextBody"/>
        <w:bidi w:val="0"/>
        <w:jc w:val="left"/>
        <w:rPr>
          <w:rFonts w:ascii="Times New Roman" w:hAnsi="Times New Roman"/>
          <w:color w:val="000000"/>
          <w:sz w:val="20"/>
        </w:rPr>
      </w:pPr>
      <w:r>
        <w:rPr>
          <w:rFonts w:ascii="Times New Roman" w:hAnsi="Times New Roman"/>
          <w:color w:val="000000"/>
          <w:sz w:val="20"/>
        </w:rPr>
        <w:t>We hereby consent to the filing of this opinion with the Commission as an exhibit to the Company’s Current Report on Form 8-K being filed on the date hereof and incorporated by reference into the Registration Statement. We also hereby consent to the reference to our firm under the caption “Legal Matters” in the Prospectus Supplement. In giving this consent, we do not thereby admit that we are within the category of persons whose consent is required under Section 7 of the Securities Act or the rules and regulations of the Commission promulgated thereunder. This opinion is expressed as of the date hereof unless otherwise expressly stated, and we disclaim any undertaking to advise you of any subsequent changes in the facts stated or assumed herein or of any subsequent changes in applicable laws.</w:t>
      </w:r>
    </w:p>
    <w:tbl>
      <w:tblPr>
        <w:tblW w:w="1640" w:type="dxa"/>
        <w:jc w:val="left"/>
        <w:tblInd w:w="0" w:type="dxa"/>
        <w:tblLayout w:type="fixed"/>
        <w:tblCellMar>
          <w:top w:w="28" w:type="dxa"/>
          <w:left w:w="28" w:type="dxa"/>
          <w:bottom w:w="28" w:type="dxa"/>
          <w:right w:w="28" w:type="dxa"/>
        </w:tblCellMar>
      </w:tblPr>
      <w:tblGrid>
        <w:gridCol w:w="1486"/>
        <w:gridCol w:w="154"/>
      </w:tblGrid>
      <w:tr>
        <w:trPr/>
        <w:tc>
          <w:tcPr>
            <w:tcW w:w="14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Very truly yours,</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r>
        <w:rPr>
          <w:rFonts w:ascii="Times New Roman" w:hAnsi="Times New Roman"/>
          <w:i/>
          <w:color w:val="000000"/>
          <w:sz w:val="20"/>
          <w:u w:val="single"/>
        </w:rPr>
        <w:t>/s/ Sichenzia Ross Ference Carmel LLP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Sichenzia Ross Ference Carmel LLP</w:t>
      </w:r>
    </w:p>
    <w:p>
      <w:pPr>
        <w:pStyle w:val="TextBody"/>
        <w:bidi w:val="0"/>
        <w:jc w:val="center"/>
        <w:rPr>
          <w:rFonts w:ascii="Times New Roman" w:hAnsi="Times New Roman"/>
          <w:sz w:val="20"/>
        </w:rPr>
      </w:pPr>
      <w:r>
        <w:rPr>
          <w:rFonts w:ascii="Times New Roman" w:hAnsi="Times New Roman"/>
          <w:color w:val="000000"/>
          <w:sz w:val="20"/>
        </w:rPr>
        <w:t xml:space="preserve">1185 Avenue of the Americas </w:t>
      </w:r>
      <w:r>
        <w:rPr>
          <w:rFonts w:ascii="Times New Roman" w:hAnsi="Times New Roman"/>
          <w:b/>
          <w:color w:val="000000"/>
          <w:sz w:val="20"/>
        </w:rPr>
        <w:t>|</w:t>
      </w:r>
      <w:r>
        <w:rPr>
          <w:rFonts w:ascii="Times New Roman" w:hAnsi="Times New Roman"/>
          <w:color w:val="000000"/>
          <w:sz w:val="20"/>
        </w:rPr>
        <w:t xml:space="preserve"> 26th Floor </w:t>
      </w:r>
      <w:r>
        <w:rPr>
          <w:rFonts w:ascii="Times New Roman" w:hAnsi="Times New Roman"/>
          <w:b/>
          <w:color w:val="000000"/>
          <w:sz w:val="20"/>
        </w:rPr>
        <w:t>|</w:t>
      </w:r>
      <w:r>
        <w:rPr>
          <w:rFonts w:ascii="Times New Roman" w:hAnsi="Times New Roman"/>
          <w:color w:val="000000"/>
          <w:sz w:val="20"/>
        </w:rPr>
        <w:t xml:space="preserve"> New York, NY </w:t>
      </w:r>
      <w:r>
        <w:rPr>
          <w:rFonts w:ascii="Times New Roman" w:hAnsi="Times New Roman"/>
          <w:b/>
          <w:color w:val="000000"/>
          <w:sz w:val="20"/>
        </w:rPr>
        <w:t>|</w:t>
      </w:r>
      <w:r>
        <w:rPr>
          <w:rFonts w:ascii="Times New Roman" w:hAnsi="Times New Roman"/>
          <w:color w:val="000000"/>
          <w:sz w:val="20"/>
        </w:rPr>
        <w:t xml:space="preserve"> 10036</w:t>
      </w:r>
    </w:p>
    <w:p>
      <w:pPr>
        <w:pStyle w:val="TextBody"/>
        <w:bidi w:val="0"/>
        <w:jc w:val="center"/>
        <w:rPr>
          <w:rFonts w:ascii="Times New Roman" w:hAnsi="Times New Roman"/>
          <w:sz w:val="20"/>
        </w:rPr>
      </w:pPr>
      <w:r>
        <w:rPr>
          <w:rFonts w:ascii="Times New Roman" w:hAnsi="Times New Roman"/>
          <w:color w:val="000000"/>
          <w:sz w:val="20"/>
        </w:rPr>
        <w:t xml:space="preserve">T (212) 930 9700 </w:t>
      </w:r>
      <w:r>
        <w:rPr>
          <w:rFonts w:ascii="Times New Roman" w:hAnsi="Times New Roman"/>
          <w:b/>
          <w:color w:val="000000"/>
          <w:sz w:val="20"/>
        </w:rPr>
        <w:t>|</w:t>
      </w:r>
      <w:r>
        <w:rPr>
          <w:rFonts w:ascii="Times New Roman" w:hAnsi="Times New Roman"/>
          <w:color w:val="000000"/>
          <w:sz w:val="20"/>
        </w:rPr>
        <w:t xml:space="preserve"> F (212) 930 9725 </w:t>
      </w:r>
      <w:r>
        <w:rPr>
          <w:rFonts w:ascii="Times New Roman" w:hAnsi="Times New Roman"/>
          <w:b/>
          <w:color w:val="000000"/>
          <w:sz w:val="20"/>
        </w:rPr>
        <w:t>|</w:t>
      </w:r>
      <w:r>
        <w:rPr>
          <w:rFonts w:ascii="Times New Roman" w:hAnsi="Times New Roman"/>
          <w:color w:val="000000"/>
          <w:sz w:val="20"/>
        </w:rPr>
        <w:t xml:space="preserve"> WWW.SRFC.LAW</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 w:name="tcrt-ex10_1.htm"/>
      <w:bookmarkStart w:id="7" w:name="kstcrtex10_1"/>
      <w:bookmarkEnd w:id="6"/>
      <w:bookmarkEnd w:id="7"/>
      <w:r>
        <w:rPr>
          <w:rFonts w:ascii="Times New Roman" w:hAnsi="Times New Roman"/>
          <w:b/>
          <w:color w:val="000000"/>
          <w:sz w:val="20"/>
        </w:rPr>
        <w:t>Exhibit 10.1</w:t>
      </w:r>
      <w:r>
        <w:br w:type="page"/>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SECURITIES PURCHASE AGREEMENT</w:t>
      </w:r>
    </w:p>
    <w:p>
      <w:pPr>
        <w:pStyle w:val="TextBody"/>
        <w:bidi w:val="0"/>
        <w:spacing w:before="0" w:after="240"/>
        <w:jc w:val="both"/>
        <w:rPr>
          <w:rFonts w:ascii="Times New Roman" w:hAnsi="Times New Roman"/>
          <w:sz w:val="20"/>
        </w:rPr>
      </w:pPr>
      <w:r>
        <w:rPr>
          <w:rFonts w:ascii="Times New Roman" w:hAnsi="Times New Roman"/>
          <w:color w:val="000000"/>
          <w:sz w:val="20"/>
        </w:rPr>
        <w:t>THIS SECURITIES PURCHASE AGREEMENT (this “</w:t>
      </w:r>
      <w:r>
        <w:rPr>
          <w:rFonts w:ascii="Times New Roman" w:hAnsi="Times New Roman"/>
          <w:color w:val="000000"/>
          <w:sz w:val="20"/>
          <w:u w:val="single"/>
        </w:rPr>
        <w:t>Agreement</w:t>
      </w:r>
      <w:r>
        <w:rPr>
          <w:rFonts w:ascii="Times New Roman" w:hAnsi="Times New Roman"/>
          <w:color w:val="000000"/>
          <w:sz w:val="20"/>
        </w:rPr>
        <w:t>”) is entered into and made effective as of September 18, 2026, between Alaunos Therapeutics, Inc., a Delaware corporation (the “</w:t>
      </w:r>
      <w:r>
        <w:rPr>
          <w:rFonts w:ascii="Times New Roman" w:hAnsi="Times New Roman"/>
          <w:color w:val="000000"/>
          <w:sz w:val="20"/>
          <w:u w:val="single"/>
        </w:rPr>
        <w:t>Company</w:t>
      </w:r>
      <w:r>
        <w:rPr>
          <w:rFonts w:ascii="Times New Roman" w:hAnsi="Times New Roman"/>
          <w:color w:val="000000"/>
          <w:sz w:val="20"/>
        </w:rPr>
        <w:t>”), and each purchaser identified on the signature pages hereto (each, including its successors and assigns, a “</w:t>
      </w:r>
      <w:r>
        <w:rPr>
          <w:rFonts w:ascii="Times New Roman" w:hAnsi="Times New Roman"/>
          <w:color w:val="000000"/>
          <w:sz w:val="20"/>
          <w:u w:val="single"/>
        </w:rPr>
        <w:t>Purchaser</w:t>
      </w:r>
      <w:r>
        <w:rPr>
          <w:rFonts w:ascii="Times New Roman" w:hAnsi="Times New Roman"/>
          <w:color w:val="000000"/>
          <w:sz w:val="20"/>
        </w:rPr>
        <w:t>” and collectively the “</w:t>
      </w:r>
      <w:r>
        <w:rPr>
          <w:rFonts w:ascii="Times New Roman" w:hAnsi="Times New Roman"/>
          <w:color w:val="000000"/>
          <w:sz w:val="20"/>
          <w:u w:val="single"/>
        </w:rPr>
        <w:t>Purchasers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WHEREAS, subject to the terms and conditions set forth in this Agreement and pursuant to an effective registration statement under the Securities Act of 1933, as amended (the “</w:t>
      </w:r>
      <w:r>
        <w:rPr>
          <w:rFonts w:ascii="Times New Roman" w:hAnsi="Times New Roman"/>
          <w:color w:val="000000"/>
          <w:sz w:val="20"/>
          <w:u w:val="single"/>
        </w:rPr>
        <w:t>Securities Act</w:t>
      </w:r>
      <w:r>
        <w:rPr>
          <w:rFonts w:ascii="Times New Roman" w:hAnsi="Times New Roman"/>
          <w:color w:val="000000"/>
          <w:sz w:val="20"/>
        </w:rPr>
        <w:t>”) as to the Shares and the Pre-Funded Warrants (each as defined herein) (collectively, the “</w:t>
      </w:r>
      <w:r>
        <w:rPr>
          <w:rFonts w:ascii="Times New Roman" w:hAnsi="Times New Roman"/>
          <w:color w:val="000000"/>
          <w:sz w:val="20"/>
          <w:u w:val="single"/>
        </w:rPr>
        <w:t>Securities</w:t>
      </w:r>
      <w:r>
        <w:rPr>
          <w:rFonts w:ascii="Times New Roman" w:hAnsi="Times New Roman"/>
          <w:color w:val="000000"/>
          <w:sz w:val="20"/>
        </w:rPr>
        <w:t>”), the Company desires to offer and sell to each Purchaser, and each Purchaser, severally and not jointly, desires to purchase from the Company the Securities as provided in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I.</w:t>
        <w:br/>
        <w:t>DEFINITIONS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1.1 </w:t>
      </w:r>
      <w:r>
        <w:rPr>
          <w:rFonts w:ascii="Times New Roman" w:hAnsi="Times New Roman"/>
          <w:color w:val="000000"/>
          <w:sz w:val="20"/>
          <w:u w:val="single"/>
        </w:rPr>
        <w:t>Definitions</w:t>
      </w:r>
      <w:r>
        <w:rPr>
          <w:rFonts w:ascii="Times New Roman" w:hAnsi="Times New Roman"/>
          <w:color w:val="000000"/>
          <w:sz w:val="20"/>
        </w:rPr>
        <w:t>. In addition to the words and terms defined elsewhere in this Agreement, for all purposes of this Agreement, the following words and terms have the meanings set forth in this Section 1.1:</w:t>
      </w:r>
    </w:p>
    <w:p>
      <w:pPr>
        <w:pStyle w:val="TextBody"/>
        <w:bidi w:val="0"/>
        <w:spacing w:before="0" w:after="240"/>
        <w:jc w:val="both"/>
        <w:rPr/>
      </w:pPr>
      <w:r>
        <w:rPr>
          <w:color w:val="000000"/>
        </w:rPr>
        <w:t>“</w:t>
      </w:r>
      <w:r>
        <w:rPr>
          <w:rFonts w:ascii="Times New Roman" w:hAnsi="Times New Roman"/>
          <w:color w:val="000000"/>
          <w:sz w:val="20"/>
          <w:u w:val="single"/>
        </w:rPr>
        <w:t>Acquiring Person</w:t>
      </w:r>
      <w:r>
        <w:rPr>
          <w:rFonts w:ascii="Times New Roman" w:hAnsi="Times New Roman"/>
          <w:color w:val="000000"/>
          <w:sz w:val="20"/>
        </w:rPr>
        <w:t>” shall have the meaning ascribed to such term in Section 4.5.</w:t>
      </w:r>
    </w:p>
    <w:p>
      <w:pPr>
        <w:pStyle w:val="TextBody"/>
        <w:bidi w:val="0"/>
        <w:spacing w:before="0" w:after="240"/>
        <w:jc w:val="both"/>
        <w:rPr/>
      </w:pPr>
      <w:r>
        <w:rPr>
          <w:color w:val="000000"/>
        </w:rPr>
        <w:t>“</w:t>
      </w:r>
      <w:r>
        <w:rPr>
          <w:rFonts w:ascii="Times New Roman" w:hAnsi="Times New Roman"/>
          <w:color w:val="000000"/>
          <w:sz w:val="20"/>
          <w:u w:val="single"/>
        </w:rPr>
        <w:t>Affiliate</w:t>
      </w:r>
      <w:r>
        <w:rPr>
          <w:rFonts w:ascii="Times New Roman" w:hAnsi="Times New Roman"/>
          <w:color w:val="000000"/>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240"/>
        <w:jc w:val="both"/>
        <w:rPr/>
      </w:pPr>
      <w:r>
        <w:rPr>
          <w:color w:val="000000"/>
        </w:rPr>
        <w:t>“</w:t>
      </w:r>
      <w:r>
        <w:rPr>
          <w:rFonts w:ascii="Times New Roman" w:hAnsi="Times New Roman"/>
          <w:color w:val="000000"/>
          <w:sz w:val="20"/>
          <w:u w:val="single"/>
        </w:rPr>
        <w:t>Agreement</w:t>
      </w:r>
      <w:r>
        <w:rPr>
          <w:rFonts w:ascii="Times New Roman" w:hAnsi="Times New Roman"/>
          <w:color w:val="000000"/>
          <w:sz w:val="20"/>
        </w:rPr>
        <w:t>” shall have the meaning ascribed to such term in the Preamble.</w:t>
      </w:r>
    </w:p>
    <w:p>
      <w:pPr>
        <w:pStyle w:val="TextBody"/>
        <w:bidi w:val="0"/>
        <w:spacing w:before="0" w:after="240"/>
        <w:jc w:val="both"/>
        <w:rPr/>
      </w:pPr>
      <w:r>
        <w:rPr>
          <w:color w:val="000000"/>
        </w:rPr>
        <w:t>“</w:t>
      </w:r>
      <w:r>
        <w:rPr>
          <w:rFonts w:ascii="Times New Roman" w:hAnsi="Times New Roman"/>
          <w:color w:val="000000"/>
          <w:sz w:val="20"/>
          <w:u w:val="single"/>
        </w:rPr>
        <w:t>BHCA</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3.1(ii)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Board of Directors</w:t>
      </w:r>
      <w:r>
        <w:rPr>
          <w:rFonts w:ascii="Times New Roman" w:hAnsi="Times New Roman"/>
          <w:color w:val="000000"/>
          <w:sz w:val="20"/>
        </w:rPr>
        <w:t>” means the board of directors of the Company.</w:t>
      </w:r>
    </w:p>
    <w:p>
      <w:pPr>
        <w:pStyle w:val="TextBody"/>
        <w:bidi w:val="0"/>
        <w:spacing w:before="0" w:after="240"/>
        <w:jc w:val="both"/>
        <w:rPr/>
      </w:pPr>
      <w:r>
        <w:rPr>
          <w:color w:val="000000"/>
        </w:rPr>
        <w:t>“</w:t>
      </w:r>
      <w:r>
        <w:rPr>
          <w:rFonts w:ascii="Times New Roman" w:hAnsi="Times New Roman"/>
          <w:color w:val="000000"/>
          <w:sz w:val="20"/>
          <w:u w:val="single"/>
        </w:rPr>
        <w:t>BSA/PATRIOT Act</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3.2(e)</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Business Day</w:t>
      </w:r>
      <w:r>
        <w:rPr>
          <w:rFonts w:ascii="Times New Roman" w:hAnsi="Times New Roman"/>
          <w:color w:val="000000"/>
          <w:sz w:val="20"/>
        </w:rPr>
        <w:t>” means any day other than Saturday, Sunday or other day on which commercial banks in The City of New York are authorized or required by law to remain closed.</w:t>
      </w:r>
    </w:p>
    <w:p>
      <w:pPr>
        <w:pStyle w:val="TextBody"/>
        <w:bidi w:val="0"/>
        <w:spacing w:before="0" w:after="240"/>
        <w:jc w:val="both"/>
        <w:rPr/>
      </w:pPr>
      <w:r>
        <w:rPr>
          <w:color w:val="000000"/>
        </w:rPr>
        <w:t>“</w:t>
      </w:r>
      <w:r>
        <w:rPr>
          <w:rFonts w:ascii="Times New Roman" w:hAnsi="Times New Roman"/>
          <w:color w:val="000000"/>
          <w:sz w:val="20"/>
          <w:u w:val="single"/>
        </w:rPr>
        <w:t>Closing</w:t>
      </w:r>
      <w:r>
        <w:rPr>
          <w:rFonts w:ascii="Times New Roman" w:hAnsi="Times New Roman"/>
          <w:color w:val="000000"/>
          <w:sz w:val="20"/>
        </w:rPr>
        <w:t xml:space="preserve">” means the closing of the purchase and sale of the Securities pursuant to </w:t>
      </w:r>
      <w:r>
        <w:rPr>
          <w:rFonts w:ascii="Times New Roman" w:hAnsi="Times New Roman"/>
          <w:color w:val="000000"/>
          <w:sz w:val="20"/>
          <w:u w:val="single"/>
        </w:rPr>
        <w:t>Section 2.1</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Closing Date</w:t>
      </w:r>
      <w:r>
        <w:rPr>
          <w:rFonts w:ascii="Times New Roman" w:hAnsi="Times New Roman"/>
          <w:color w:val="000000"/>
          <w:sz w:val="20"/>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(1st) Trading Day following the date hereof (or the second (2nd) Trading Day following the date hereof if this Agreement is signed on a day that is not a Trading Day or after 4:00 p.m. (New York, NY time) and before midnight (New York, NY time) on a Trading Day).</w:t>
      </w:r>
    </w:p>
    <w:p>
      <w:pPr>
        <w:pStyle w:val="TextBody"/>
        <w:bidi w:val="0"/>
        <w:spacing w:before="0" w:after="240"/>
        <w:jc w:val="both"/>
        <w:rPr/>
      </w:pPr>
      <w:r>
        <w:rPr>
          <w:color w:val="000000"/>
        </w:rPr>
        <w:t>“</w:t>
      </w:r>
      <w:r>
        <w:rPr>
          <w:rFonts w:ascii="Times New Roman" w:hAnsi="Times New Roman"/>
          <w:color w:val="000000"/>
          <w:sz w:val="20"/>
          <w:u w:val="single"/>
        </w:rPr>
        <w:t>Common Stock</w:t>
      </w:r>
      <w:r>
        <w:rPr>
          <w:rFonts w:ascii="Times New Roman" w:hAnsi="Times New Roman"/>
          <w:color w:val="000000"/>
          <w:sz w:val="20"/>
        </w:rPr>
        <w:t>” means the common stock of the Company, par value $0.001 per share.</w:t>
      </w:r>
    </w:p>
    <w:p>
      <w:pPr>
        <w:pStyle w:val="TextBody"/>
        <w:bidi w:val="0"/>
        <w:spacing w:before="0" w:after="240"/>
        <w:jc w:val="both"/>
        <w:rPr/>
      </w:pPr>
      <w:r>
        <w:rPr>
          <w:color w:val="000000"/>
        </w:rPr>
        <w:t>“</w:t>
      </w:r>
      <w:r>
        <w:rPr>
          <w:rFonts w:ascii="Times New Roman" w:hAnsi="Times New Roman"/>
          <w:color w:val="000000"/>
          <w:sz w:val="20"/>
          <w:u w:val="single"/>
        </w:rPr>
        <w:t>Common Stock Equivalents</w:t>
      </w:r>
      <w:r>
        <w:rPr>
          <w:rFonts w:ascii="Times New Roman" w:hAnsi="Times New Roman"/>
          <w:color w:val="000000"/>
          <w:sz w:val="20"/>
        </w:rPr>
        <w:t xml:space="preserve">” means any securities of the Company or the Subsidiaries which would entitle the holder thereof to acquire at any time shares of Common Stock, including, without limitation,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debt, preferred shares, right, option, warrant or other instrument that is at any time convertible into or exercisable or exchangeable for, or otherwise entitles the holder thereof to receive, shares of Common Stock.</w:t>
      </w:r>
    </w:p>
    <w:p>
      <w:pPr>
        <w:pStyle w:val="TextBody"/>
        <w:bidi w:val="0"/>
        <w:spacing w:before="0" w:after="240"/>
        <w:jc w:val="both"/>
        <w:rPr/>
      </w:pPr>
      <w:r>
        <w:rPr>
          <w:color w:val="000000"/>
        </w:rPr>
        <w:t>“</w:t>
      </w:r>
      <w:r>
        <w:rPr>
          <w:rFonts w:ascii="Times New Roman" w:hAnsi="Times New Roman"/>
          <w:color w:val="000000"/>
          <w:sz w:val="20"/>
          <w:u w:val="single"/>
        </w:rPr>
        <w:t>Company</w:t>
      </w:r>
      <w:r>
        <w:rPr>
          <w:rFonts w:ascii="Times New Roman" w:hAnsi="Times New Roman"/>
          <w:color w:val="000000"/>
          <w:sz w:val="20"/>
        </w:rPr>
        <w:t xml:space="preserve">” shall have the meaning ascribed to such term in the Preamble. </w:t>
      </w:r>
    </w:p>
    <w:p>
      <w:pPr>
        <w:pStyle w:val="TextBody"/>
        <w:bidi w:val="0"/>
        <w:spacing w:before="0" w:after="240"/>
        <w:jc w:val="both"/>
        <w:rPr/>
      </w:pPr>
      <w:r>
        <w:rPr>
          <w:color w:val="000000"/>
        </w:rPr>
        <w:t>“</w:t>
      </w:r>
      <w:r>
        <w:rPr>
          <w:rFonts w:ascii="Times New Roman" w:hAnsi="Times New Roman"/>
          <w:color w:val="000000"/>
          <w:sz w:val="20"/>
          <w:u w:val="single"/>
        </w:rPr>
        <w:t>Company Counsel</w:t>
      </w:r>
      <w:r>
        <w:rPr>
          <w:rFonts w:ascii="Times New Roman" w:hAnsi="Times New Roman"/>
          <w:color w:val="000000"/>
          <w:sz w:val="20"/>
        </w:rPr>
        <w:t>” means Sichenzia Ross Ference Carmel LLP.</w:t>
      </w:r>
    </w:p>
    <w:p>
      <w:pPr>
        <w:pStyle w:val="TextBody"/>
        <w:bidi w:val="0"/>
        <w:spacing w:before="0" w:after="240"/>
        <w:jc w:val="both"/>
        <w:rPr/>
      </w:pPr>
      <w:r>
        <w:rPr>
          <w:color w:val="000000"/>
        </w:rPr>
        <w:t>“</w:t>
      </w:r>
      <w:r>
        <w:rPr>
          <w:rFonts w:ascii="Times New Roman" w:hAnsi="Times New Roman"/>
          <w:color w:val="000000"/>
          <w:sz w:val="20"/>
          <w:u w:val="single"/>
        </w:rPr>
        <w:t>Control</w:t>
      </w:r>
      <w:r>
        <w:rPr>
          <w:rFonts w:ascii="Times New Roman" w:hAnsi="Times New Roman"/>
          <w:color w:val="000000"/>
          <w:sz w:val="20"/>
        </w:rPr>
        <w:t>” (including the terms “</w:t>
      </w:r>
      <w:r>
        <w:rPr>
          <w:rFonts w:ascii="Times New Roman" w:hAnsi="Times New Roman"/>
          <w:color w:val="000000"/>
          <w:sz w:val="20"/>
          <w:u w:val="single"/>
        </w:rPr>
        <w:t>Controlled by</w:t>
      </w:r>
      <w:r>
        <w:rPr>
          <w:rFonts w:ascii="Times New Roman" w:hAnsi="Times New Roman"/>
          <w:color w:val="000000"/>
          <w:sz w:val="20"/>
        </w:rPr>
        <w:t>” and “</w:t>
      </w:r>
      <w:r>
        <w:rPr>
          <w:rFonts w:ascii="Times New Roman" w:hAnsi="Times New Roman"/>
          <w:color w:val="000000"/>
          <w:sz w:val="20"/>
          <w:u w:val="single"/>
        </w:rPr>
        <w:t>under common Control with</w:t>
      </w:r>
      <w:r>
        <w:rPr>
          <w:rFonts w:ascii="Times New Roman" w:hAnsi="Times New Roman"/>
          <w:color w:val="000000"/>
          <w:sz w:val="20"/>
        </w:rPr>
        <w:t>”) means the possession, directly or indirectly, of the power to direct or cause the direction of the management and policies of a person, whether through the ownership of voting securities, as trustee or executor, by contract or otherwise, including the ownership, directly or indirectly, of securities having the power to elect a majority of the board of directors or similar body governing the affairs of such person or securities that represent a majority of the outstanding voting securities of such person.</w:t>
      </w:r>
    </w:p>
    <w:p>
      <w:pPr>
        <w:pStyle w:val="TextBody"/>
        <w:bidi w:val="0"/>
        <w:spacing w:before="0" w:after="240"/>
        <w:jc w:val="both"/>
        <w:rPr/>
      </w:pPr>
      <w:r>
        <w:rPr>
          <w:color w:val="000000"/>
        </w:rPr>
        <w:t>“</w:t>
      </w:r>
      <w:r>
        <w:rPr>
          <w:rFonts w:ascii="Times New Roman" w:hAnsi="Times New Roman"/>
          <w:color w:val="000000"/>
          <w:sz w:val="20"/>
          <w:u w:val="single"/>
        </w:rPr>
        <w:t>Disclosure Time</w:t>
      </w:r>
      <w:r>
        <w:rPr>
          <w:rFonts w:ascii="Times New Roman" w:hAnsi="Times New Roman"/>
          <w:color w:val="000000"/>
          <w:sz w:val="20"/>
        </w:rPr>
        <w:t>” means, (i) if this Agreement is signed on a day that is not a Trading Day or after 9:00 a.m. (New York, NY time) and before midnight (New York, NY time) on any Trading Day, 9:01 a.m. (New York, NY time) on the Trading Day immediately following the date hereof, unless otherwise instructed as to an earlier time by the Placement Agent, and (ii) if this Agreement is signed between midnight (New York, NY time) and 9:00 a.m. (New York, NY time) on any Trading Day, no later than 9:01 a.m. (New York, NY time) on the date hereof, unless otherwise instructed as to an earlier time by the Placement Agent.</w:t>
      </w:r>
    </w:p>
    <w:p>
      <w:pPr>
        <w:pStyle w:val="TextBody"/>
        <w:bidi w:val="0"/>
        <w:spacing w:before="0" w:after="240"/>
        <w:jc w:val="both"/>
        <w:rPr/>
      </w:pPr>
      <w:r>
        <w:rPr>
          <w:color w:val="000000"/>
        </w:rPr>
        <w:t>“</w:t>
      </w:r>
      <w:r>
        <w:rPr>
          <w:rFonts w:ascii="Times New Roman" w:hAnsi="Times New Roman"/>
          <w:color w:val="000000"/>
          <w:sz w:val="20"/>
          <w:u w:val="single"/>
        </w:rPr>
        <w:t>DVP</w:t>
      </w:r>
      <w:r>
        <w:rPr>
          <w:rFonts w:ascii="Times New Roman" w:hAnsi="Times New Roman"/>
          <w:color w:val="000000"/>
          <w:sz w:val="20"/>
        </w:rPr>
        <w:t>” shall have the meaning ascribed to such term in Section 2.1.</w:t>
      </w:r>
    </w:p>
    <w:p>
      <w:pPr>
        <w:pStyle w:val="TextBody"/>
        <w:bidi w:val="0"/>
        <w:spacing w:before="0" w:after="240"/>
        <w:jc w:val="both"/>
        <w:rPr/>
      </w:pPr>
      <w:r>
        <w:rPr>
          <w:color w:val="000000"/>
        </w:rPr>
        <w:t>“</w:t>
      </w:r>
      <w:r>
        <w:rPr>
          <w:rFonts w:ascii="Times New Roman" w:hAnsi="Times New Roman"/>
          <w:color w:val="000000"/>
          <w:sz w:val="20"/>
          <w:u w:val="single"/>
        </w:rPr>
        <w:t>DWAC</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2.2(a)(ii)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EDGAR</w:t>
      </w:r>
      <w:r>
        <w:rPr>
          <w:rFonts w:ascii="Times New Roman" w:hAnsi="Times New Roman"/>
          <w:color w:val="000000"/>
          <w:sz w:val="20"/>
        </w:rPr>
        <w:t>” means the Electronic Data Gathering, Analysis, and Retrieval System.</w:t>
      </w:r>
    </w:p>
    <w:p>
      <w:pPr>
        <w:pStyle w:val="TextBody"/>
        <w:bidi w:val="0"/>
        <w:spacing w:before="0" w:after="240"/>
        <w:jc w:val="both"/>
        <w:rPr/>
      </w:pPr>
      <w:r>
        <w:rPr>
          <w:color w:val="000000"/>
        </w:rPr>
        <w:t>“</w:t>
      </w:r>
      <w:r>
        <w:rPr>
          <w:rFonts w:ascii="Times New Roman" w:hAnsi="Times New Roman"/>
          <w:color w:val="000000"/>
          <w:sz w:val="20"/>
          <w:u w:val="single"/>
        </w:rPr>
        <w:t>ERISA</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3.2(i)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Evaluation Date</w:t>
      </w:r>
      <w:r>
        <w:rPr>
          <w:rFonts w:ascii="Times New Roman" w:hAnsi="Times New Roman"/>
          <w:color w:val="000000"/>
          <w:sz w:val="20"/>
        </w:rPr>
        <w:t>” shall have the meaning ascribed to such term in Section 3.1(s).</w:t>
      </w:r>
    </w:p>
    <w:p>
      <w:pPr>
        <w:pStyle w:val="TextBody"/>
        <w:bidi w:val="0"/>
        <w:spacing w:before="0" w:after="240"/>
        <w:jc w:val="both"/>
        <w:rPr/>
      </w:pPr>
      <w:r>
        <w:rPr>
          <w:color w:val="000000"/>
        </w:rPr>
        <w:t>“</w:t>
      </w:r>
      <w:r>
        <w:rPr>
          <w:rFonts w:ascii="Times New Roman" w:hAnsi="Times New Roman"/>
          <w:color w:val="000000"/>
          <w:sz w:val="20"/>
          <w:u w:val="single"/>
        </w:rPr>
        <w:t>Exchange Act</w:t>
      </w:r>
      <w:r>
        <w:rPr>
          <w:rFonts w:ascii="Times New Roman" w:hAnsi="Times New Roman"/>
          <w:color w:val="000000"/>
          <w:sz w:val="20"/>
        </w:rPr>
        <w:t>” means the Securities Exchange Act of 1934, as amended, and the rules and regulations promulgated thereunder.</w:t>
      </w:r>
    </w:p>
    <w:p>
      <w:pPr>
        <w:pStyle w:val="TextBody"/>
        <w:bidi w:val="0"/>
        <w:spacing w:before="0" w:after="240"/>
        <w:jc w:val="both"/>
        <w:rPr/>
      </w:pPr>
      <w:r>
        <w:rPr>
          <w:color w:val="000000"/>
        </w:rPr>
        <w:t>“</w:t>
      </w:r>
      <w:r>
        <w:rPr>
          <w:rFonts w:ascii="Times New Roman" w:hAnsi="Times New Roman"/>
          <w:color w:val="000000"/>
          <w:sz w:val="20"/>
          <w:u w:val="single"/>
        </w:rPr>
        <w:t>Exempt Issuance</w:t>
      </w:r>
      <w:r>
        <w:rPr>
          <w:rFonts w:ascii="Times New Roman" w:hAnsi="Times New Roman"/>
          <w:color w:val="000000"/>
          <w:sz w:val="20"/>
        </w:rPr>
        <w:t xml:space="preserve">” means the issuance of (i) shares of Common Stock, restricted stock units, or options, including the shares of Common Stock underlying the restricted stock units or options, to employees, officers, directors, or consultants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(ii) Common Stock issued upon the exercise or exchange of or conversion of any Warrants issued hereunder and/or other securities exercisable or exchangeable for or convertible into shares of Common Stock issued and outstanding on the date of this Agreement </w:t>
      </w:r>
      <w:r>
        <w:rPr>
          <w:rFonts w:ascii="Times New Roman" w:hAnsi="Times New Roman"/>
          <w:i/>
          <w:color w:val="000000"/>
          <w:sz w:val="20"/>
        </w:rPr>
        <w:t>provided</w:t>
      </w:r>
      <w:r>
        <w:rPr>
          <w:rFonts w:ascii="Times New Roman" w:hAnsi="Times New Roman"/>
          <w:color w:val="000000"/>
          <w:sz w:val="20"/>
        </w:rPr>
        <w:t xml:space="preserve"> that such securities have not been amended since the date of this Agreement to increase the number of such securities or to decrease the exercise price, exchange price, or conversion price of such securities (other than in connection with stock splits or combinations or anti-dilution provisions contained therein as disclosed in the SEC Reports and the Prospectus) or to extend the term of such securities or securities issuable in connection with a transaction involving the Company and existing stockholders in which the Company offers the existing stockholders the option to exchange their shares of Common Stock for other securities of the Company, (iii), securities issued pursuant to merger, acquisition, or strategic transactions approved by a majority of the disinterested directors of the Company, </w:t>
      </w:r>
      <w:r>
        <w:rPr>
          <w:rFonts w:ascii="Times New Roman" w:hAnsi="Times New Roman"/>
          <w:i/>
          <w:color w:val="000000"/>
          <w:sz w:val="20"/>
        </w:rPr>
        <w:t>provided</w:t>
      </w:r>
      <w:r>
        <w:rPr>
          <w:rFonts w:ascii="Times New Roman" w:hAnsi="Times New Roman"/>
          <w:color w:val="000000"/>
          <w:sz w:val="20"/>
        </w:rPr>
        <w:t xml:space="preserve"> that such securities are issued as “restricted securities” (as defined in Rule 144) and carry no registration rights that require or permit the filing of any registration statement in connection therewith during the prohibition period in </w:t>
      </w:r>
      <w:r>
        <w:rPr>
          <w:rFonts w:ascii="Times New Roman" w:hAnsi="Times New Roman"/>
          <w:color w:val="000000"/>
          <w:sz w:val="20"/>
          <w:u w:val="single"/>
        </w:rPr>
        <w:t>Section 4.11(a)</w:t>
      </w:r>
      <w:r>
        <w:rPr>
          <w:rFonts w:ascii="Times New Roman" w:hAnsi="Times New Roman"/>
          <w:color w:val="000000"/>
          <w:sz w:val="20"/>
        </w:rPr>
        <w:t xml:space="preserve"> herein, and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 xml:space="preserve">further </w:t>
      </w:r>
      <w:r>
        <w:rPr>
          <w:rFonts w:ascii="Times New Roman" w:hAnsi="Times New Roman"/>
          <w:color w:val="000000"/>
          <w:sz w:val="20"/>
        </w:rPr>
        <w:t xml:space="preserve">that any such issuance shall only be to a Person that (or to the equity holders of a Person) which is, itself or through its subsidiaries, an operating company, or an owner of an asset in a business synergistic with the business of the Company and in which the Company receives benefits in addition to any investment of funds, but shall not include a transaction in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which the Company is issuing securities primarily for the purpose of raising capital or to an entity whose primary business is investing in securities, and (iv) securities for settlement of outstanding payables or liabilities </w:t>
      </w:r>
      <w:r>
        <w:rPr>
          <w:rFonts w:ascii="Times New Roman" w:hAnsi="Times New Roman"/>
          <w:i/>
          <w:color w:val="000000"/>
          <w:sz w:val="20"/>
        </w:rPr>
        <w:t>provided</w:t>
      </w:r>
      <w:r>
        <w:rPr>
          <w:rFonts w:ascii="Times New Roman" w:hAnsi="Times New Roman"/>
          <w:color w:val="000000"/>
          <w:sz w:val="20"/>
        </w:rPr>
        <w:t xml:space="preserve"> that such securities are issued as “restricted securities” (as defined in Rule 144) and carry no registration rights that require or permit the filing of any registration statement in connection therewith during the prohibition period in </w:t>
      </w:r>
      <w:r>
        <w:rPr>
          <w:rFonts w:ascii="Times New Roman" w:hAnsi="Times New Roman"/>
          <w:color w:val="000000"/>
          <w:sz w:val="20"/>
          <w:u w:val="single"/>
        </w:rPr>
        <w:t>Section 4.11(a)</w:t>
      </w:r>
      <w:r>
        <w:rPr>
          <w:rFonts w:ascii="Times New Roman" w:hAnsi="Times New Roman"/>
          <w:color w:val="000000"/>
          <w:sz w:val="20"/>
        </w:rPr>
        <w:t xml:space="preserve"> herein.</w:t>
      </w:r>
    </w:p>
    <w:p>
      <w:pPr>
        <w:pStyle w:val="TextBody"/>
        <w:bidi w:val="0"/>
        <w:spacing w:before="0" w:after="240"/>
        <w:jc w:val="both"/>
        <w:rPr/>
      </w:pPr>
      <w:r>
        <w:rPr>
          <w:color w:val="000000"/>
        </w:rPr>
        <w:t>“</w:t>
      </w:r>
      <w:r>
        <w:rPr>
          <w:rFonts w:ascii="Times New Roman" w:hAnsi="Times New Roman"/>
          <w:color w:val="000000"/>
          <w:sz w:val="20"/>
          <w:u w:val="single"/>
        </w:rPr>
        <w:t>FCPA</w:t>
      </w:r>
      <w:r>
        <w:rPr>
          <w:rFonts w:ascii="Times New Roman" w:hAnsi="Times New Roman"/>
          <w:color w:val="000000"/>
          <w:sz w:val="20"/>
        </w:rPr>
        <w:t>” means the Foreign Corrupt Practices Act of 1977, as amended.</w:t>
      </w:r>
    </w:p>
    <w:p>
      <w:pPr>
        <w:pStyle w:val="TextBody"/>
        <w:bidi w:val="0"/>
        <w:spacing w:before="0" w:after="240"/>
        <w:jc w:val="both"/>
        <w:rPr/>
      </w:pPr>
      <w:r>
        <w:rPr>
          <w:color w:val="000000"/>
        </w:rPr>
        <w:t>“</w:t>
      </w:r>
      <w:r>
        <w:rPr>
          <w:rFonts w:ascii="Times New Roman" w:hAnsi="Times New Roman"/>
          <w:color w:val="000000"/>
          <w:sz w:val="20"/>
          <w:u w:val="single"/>
        </w:rPr>
        <w:t>FDA</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3.1(l)</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FDCA</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3.1(ll)</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Federal Reserve</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2.2(a)(ii)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Food and Drug Regulations</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3.1(ll)</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FTC</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3.1(l)</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GAAP</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3.1(h)</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GDPR</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3.1(oo)</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Indebtedness</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3.1(z)</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IT Systems and Data</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3.1(nn)</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Intellectual Property Rights</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3.1(o)</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Liens</w:t>
      </w:r>
      <w:r>
        <w:rPr>
          <w:rFonts w:ascii="Times New Roman" w:hAnsi="Times New Roman"/>
          <w:color w:val="000000"/>
          <w:sz w:val="20"/>
        </w:rPr>
        <w:t>” means a lien, charge, pledge, security interest, encumbrance, right of first refusal, preemptive right or other restriction.</w:t>
      </w:r>
    </w:p>
    <w:p>
      <w:pPr>
        <w:pStyle w:val="TextBody"/>
        <w:bidi w:val="0"/>
        <w:spacing w:before="0" w:after="240"/>
        <w:jc w:val="both"/>
        <w:rPr/>
      </w:pPr>
      <w:r>
        <w:rPr>
          <w:color w:val="000000"/>
        </w:rPr>
        <w:t>“</w:t>
      </w:r>
      <w:r>
        <w:rPr>
          <w:rFonts w:ascii="Times New Roman" w:hAnsi="Times New Roman"/>
          <w:color w:val="000000"/>
          <w:sz w:val="20"/>
          <w:u w:val="single"/>
        </w:rPr>
        <w:t>Lock-Up Agreement</w:t>
      </w:r>
      <w:r>
        <w:rPr>
          <w:rFonts w:ascii="Times New Roman" w:hAnsi="Times New Roman"/>
          <w:color w:val="000000"/>
          <w:sz w:val="20"/>
        </w:rPr>
        <w:t xml:space="preserve">” means the Lock-Up Agreement, dated as of the date hereof, by and among the Placement Agent and the directors and officers of the Company, substantially in the form of </w:t>
      </w:r>
      <w:r>
        <w:rPr>
          <w:rFonts w:ascii="Times New Roman" w:hAnsi="Times New Roman"/>
          <w:color w:val="000000"/>
          <w:sz w:val="20"/>
          <w:u w:val="single"/>
        </w:rPr>
        <w:t>Exhibit A</w:t>
      </w:r>
      <w:r>
        <w:rPr>
          <w:rFonts w:ascii="Times New Roman" w:hAnsi="Times New Roman"/>
          <w:color w:val="000000"/>
          <w:sz w:val="20"/>
        </w:rPr>
        <w:t xml:space="preserve"> attached hereto.</w:t>
      </w:r>
    </w:p>
    <w:p>
      <w:pPr>
        <w:pStyle w:val="TextBody"/>
        <w:bidi w:val="0"/>
        <w:spacing w:before="0" w:after="240"/>
        <w:jc w:val="both"/>
        <w:rPr/>
      </w:pPr>
      <w:r>
        <w:rPr>
          <w:color w:val="000000"/>
        </w:rPr>
        <w:t>“</w:t>
      </w:r>
      <w:r>
        <w:rPr>
          <w:rFonts w:ascii="Times New Roman" w:hAnsi="Times New Roman"/>
          <w:color w:val="000000"/>
          <w:sz w:val="20"/>
          <w:u w:val="single"/>
        </w:rPr>
        <w:t>Material Adverse Effect</w:t>
      </w:r>
      <w:r>
        <w:rPr>
          <w:rFonts w:ascii="Times New Roman" w:hAnsi="Times New Roman"/>
          <w:color w:val="000000"/>
          <w:sz w:val="20"/>
        </w:rPr>
        <w:t xml:space="preserve">” shall have the meaning assigned to such term in </w:t>
      </w:r>
      <w:r>
        <w:rPr>
          <w:rFonts w:ascii="Times New Roman" w:hAnsi="Times New Roman"/>
          <w:color w:val="000000"/>
          <w:sz w:val="20"/>
          <w:u w:val="single"/>
        </w:rPr>
        <w:t>Section 3.1(b)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Material Permits</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3.1(n)</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Misconduct</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3.1(k)</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Money Laundering Laws</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3.1(jj)</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Non-cooperative Jurisdiction</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3.2(j)</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OFAC</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3.1(gg)</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Offering</w:t>
      </w:r>
      <w:r>
        <w:rPr>
          <w:rFonts w:ascii="Times New Roman" w:hAnsi="Times New Roman"/>
          <w:color w:val="000000"/>
          <w:sz w:val="20"/>
        </w:rPr>
        <w:t>” shall mean the offering of the Securities contemplated by this Agreement and the Registration Statement.</w:t>
      </w:r>
    </w:p>
    <w:p>
      <w:pPr>
        <w:pStyle w:val="TextBody"/>
        <w:bidi w:val="0"/>
        <w:spacing w:before="0" w:after="240"/>
        <w:jc w:val="both"/>
        <w:rPr/>
      </w:pPr>
      <w:r>
        <w:rPr>
          <w:color w:val="000000"/>
        </w:rPr>
        <w:t>“</w:t>
      </w:r>
      <w:r>
        <w:rPr>
          <w:rFonts w:ascii="Times New Roman" w:hAnsi="Times New Roman"/>
          <w:color w:val="000000"/>
          <w:sz w:val="20"/>
          <w:u w:val="single"/>
        </w:rPr>
        <w:t>Per Share Purchase Price</w:t>
      </w:r>
      <w:r>
        <w:rPr>
          <w:rFonts w:ascii="Times New Roman" w:hAnsi="Times New Roman"/>
          <w:color w:val="000000"/>
          <w:sz w:val="20"/>
        </w:rPr>
        <w:t xml:space="preserve">” equals $1.46, subject to adjustment for reverse and forward share splits, share dividends, share combinations and other similar events with respect to shares of Common Stock that occur after the date of this Agreement and prior to the Closing; </w:t>
      </w:r>
      <w:r>
        <w:rPr>
          <w:rFonts w:ascii="Times New Roman" w:hAnsi="Times New Roman"/>
          <w:i/>
          <w:color w:val="000000"/>
          <w:sz w:val="20"/>
        </w:rPr>
        <w:t>provided</w:t>
      </w:r>
      <w:r>
        <w:rPr>
          <w:rFonts w:ascii="Times New Roman" w:hAnsi="Times New Roman"/>
          <w:color w:val="000000"/>
          <w:sz w:val="20"/>
        </w:rPr>
        <w:t xml:space="preserve"> that the purchase price per Pre-Funded Warrant shall be the Per Share Purchase Price minus $0.001.</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3</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Person</w:t>
      </w:r>
      <w:r>
        <w:rPr>
          <w:rFonts w:ascii="Times New Roman" w:hAnsi="Times New Roman"/>
          <w:color w:val="000000"/>
          <w:sz w:val="20"/>
        </w:rPr>
        <w:t>” means an individual or corporation, partnership, trust, incorporated or unincorporated association, joint venture, limited liability company, joint share company, government (or an agency or subdivision thereof) or other entity of any kind.</w:t>
      </w:r>
    </w:p>
    <w:p>
      <w:pPr>
        <w:pStyle w:val="TextBody"/>
        <w:bidi w:val="0"/>
        <w:spacing w:before="0" w:after="240"/>
        <w:jc w:val="both"/>
        <w:rPr/>
      </w:pPr>
      <w:r>
        <w:rPr>
          <w:color w:val="000000"/>
        </w:rPr>
        <w:t>“</w:t>
      </w:r>
      <w:r>
        <w:rPr>
          <w:rFonts w:ascii="Times New Roman" w:hAnsi="Times New Roman"/>
          <w:color w:val="000000"/>
          <w:sz w:val="20"/>
          <w:u w:val="single"/>
        </w:rPr>
        <w:t>Personal Data</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3.1(oo)</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Placement Agency Agreement</w:t>
      </w:r>
      <w:r>
        <w:rPr>
          <w:rFonts w:ascii="Times New Roman" w:hAnsi="Times New Roman"/>
          <w:color w:val="000000"/>
          <w:sz w:val="20"/>
        </w:rPr>
        <w:t>” means the Placement Agency Agreement by and between the Company and the Placement Agent dated as of September 18, 2026, as it may be amended from time to time.</w:t>
      </w:r>
    </w:p>
    <w:p>
      <w:pPr>
        <w:pStyle w:val="TextBody"/>
        <w:bidi w:val="0"/>
        <w:spacing w:before="0" w:after="240"/>
        <w:jc w:val="both"/>
        <w:rPr/>
      </w:pPr>
      <w:r>
        <w:rPr>
          <w:color w:val="000000"/>
        </w:rPr>
        <w:t>“</w:t>
      </w:r>
      <w:r>
        <w:rPr>
          <w:rFonts w:ascii="Times New Roman" w:hAnsi="Times New Roman"/>
          <w:color w:val="000000"/>
          <w:sz w:val="20"/>
          <w:u w:val="single"/>
        </w:rPr>
        <w:t>Placement Agent</w:t>
      </w:r>
      <w:r>
        <w:rPr>
          <w:rFonts w:ascii="Times New Roman" w:hAnsi="Times New Roman"/>
          <w:color w:val="000000"/>
          <w:sz w:val="20"/>
        </w:rPr>
        <w:t>” means Dawson James Securities, Inc.</w:t>
      </w:r>
    </w:p>
    <w:p>
      <w:pPr>
        <w:pStyle w:val="TextBody"/>
        <w:bidi w:val="0"/>
        <w:spacing w:before="0" w:after="240"/>
        <w:jc w:val="both"/>
        <w:rPr/>
      </w:pPr>
      <w:r>
        <w:rPr>
          <w:color w:val="000000"/>
        </w:rPr>
        <w:t>“</w:t>
      </w:r>
      <w:r>
        <w:rPr>
          <w:rFonts w:ascii="Times New Roman" w:hAnsi="Times New Roman"/>
          <w:color w:val="000000"/>
          <w:sz w:val="20"/>
          <w:u w:val="single"/>
        </w:rPr>
        <w:t>Policies</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3.1(oo)</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Pre-Funded Warrants</w:t>
      </w:r>
      <w:r>
        <w:rPr>
          <w:rFonts w:ascii="Times New Roman" w:hAnsi="Times New Roman"/>
          <w:color w:val="000000"/>
          <w:sz w:val="20"/>
        </w:rPr>
        <w:t xml:space="preserve">” means the Common Stock Purchase Warrants delivered to certain of the Purchasers at the Closing in accordance with Section 2.2(a)(iii) hereof to the extent any Purchasers elect to receive Pre-Funded Warrants in lieu of Shares, which Pre-Funded Warrants shall be exercisable into shares of Common Stock and shall be in the form of </w:t>
      </w:r>
      <w:r>
        <w:rPr>
          <w:rFonts w:ascii="Times New Roman" w:hAnsi="Times New Roman"/>
          <w:color w:val="000000"/>
          <w:sz w:val="20"/>
          <w:u w:val="single"/>
        </w:rPr>
        <w:t>Exhibit B</w:t>
      </w:r>
      <w:r>
        <w:rPr>
          <w:rFonts w:ascii="Times New Roman" w:hAnsi="Times New Roman"/>
          <w:color w:val="000000"/>
          <w:sz w:val="20"/>
        </w:rPr>
        <w:t xml:space="preserve"> attached hereto, which Pre-Funded Warrants shall be exercisable beginning on the Initial Exercise Date (as defined therein) until all of the Pre-Funded Warrants have been exercised, and shall be exercisable at an exercise price of $0.001 per share.</w:t>
      </w:r>
    </w:p>
    <w:p>
      <w:pPr>
        <w:pStyle w:val="TextBody"/>
        <w:bidi w:val="0"/>
        <w:spacing w:before="0" w:after="240"/>
        <w:jc w:val="both"/>
        <w:rPr/>
      </w:pPr>
      <w:r>
        <w:rPr>
          <w:color w:val="000000"/>
        </w:rPr>
        <w:t>“</w:t>
      </w:r>
      <w:r>
        <w:rPr>
          <w:rFonts w:ascii="Times New Roman" w:hAnsi="Times New Roman"/>
          <w:color w:val="000000"/>
          <w:sz w:val="20"/>
          <w:u w:val="single"/>
        </w:rPr>
        <w:t>Pre-Settlement Period</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5.21</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Pre-Settlement Shares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5.21</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Privacy Laws</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3.1(oo)</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Proceeding</w:t>
      </w:r>
      <w:r>
        <w:rPr>
          <w:rFonts w:ascii="Times New Roman" w:hAnsi="Times New Roman"/>
          <w:color w:val="000000"/>
          <w:sz w:val="20"/>
        </w:rPr>
        <w:t>” means an action, claim, suit, investigation or proceeding (including, without limitation, a preliminary inquiry, an informal investigation or a partial proceeding, such as a deposition), whether commenced or threatened.</w:t>
      </w:r>
    </w:p>
    <w:p>
      <w:pPr>
        <w:pStyle w:val="TextBody"/>
        <w:bidi w:val="0"/>
        <w:spacing w:before="0" w:after="240"/>
        <w:jc w:val="both"/>
        <w:rPr/>
      </w:pPr>
      <w:r>
        <w:rPr>
          <w:color w:val="000000"/>
        </w:rPr>
        <w:t>“</w:t>
      </w:r>
      <w:r>
        <w:rPr>
          <w:rFonts w:ascii="Times New Roman" w:hAnsi="Times New Roman"/>
          <w:color w:val="000000"/>
          <w:sz w:val="20"/>
          <w:u w:val="single"/>
        </w:rPr>
        <w:t>Product</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3.1(ll)</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Prospectus</w:t>
      </w:r>
      <w:r>
        <w:rPr>
          <w:rFonts w:ascii="Times New Roman" w:hAnsi="Times New Roman"/>
          <w:color w:val="000000"/>
          <w:sz w:val="20"/>
        </w:rPr>
        <w:t>” means the most recent prospectus that formed a part of the Registration Statement.</w:t>
      </w:r>
    </w:p>
    <w:p>
      <w:pPr>
        <w:pStyle w:val="TextBody"/>
        <w:bidi w:val="0"/>
        <w:spacing w:before="0" w:after="240"/>
        <w:jc w:val="both"/>
        <w:rPr/>
      </w:pPr>
      <w:r>
        <w:rPr>
          <w:color w:val="000000"/>
        </w:rPr>
        <w:t>“</w:t>
      </w:r>
      <w:r>
        <w:rPr>
          <w:rFonts w:ascii="Times New Roman" w:hAnsi="Times New Roman"/>
          <w:color w:val="000000"/>
          <w:sz w:val="20"/>
          <w:u w:val="single"/>
        </w:rPr>
        <w:t>Prospectus Supplement</w:t>
      </w:r>
      <w:r>
        <w:rPr>
          <w:rFonts w:ascii="Times New Roman" w:hAnsi="Times New Roman"/>
          <w:color w:val="000000"/>
          <w:sz w:val="20"/>
        </w:rPr>
        <w:t>” means the supplement to the Prospectus complying with Rule 424(b) of the Securities Act that is filed with the SEC and has been delivered by the Company to each Purchaser prior to the execution of this Agreement.</w:t>
      </w:r>
    </w:p>
    <w:p>
      <w:pPr>
        <w:pStyle w:val="TextBody"/>
        <w:bidi w:val="0"/>
        <w:spacing w:before="0" w:after="240"/>
        <w:jc w:val="both"/>
        <w:rPr/>
      </w:pPr>
      <w:r>
        <w:rPr>
          <w:color w:val="000000"/>
        </w:rPr>
        <w:t>“</w:t>
      </w:r>
      <w:r>
        <w:rPr>
          <w:rFonts w:ascii="Times New Roman" w:hAnsi="Times New Roman"/>
          <w:color w:val="000000"/>
          <w:sz w:val="20"/>
          <w:u w:val="single"/>
        </w:rPr>
        <w:t>Purchaser</w:t>
      </w:r>
      <w:r>
        <w:rPr>
          <w:rFonts w:ascii="Times New Roman" w:hAnsi="Times New Roman"/>
          <w:color w:val="000000"/>
          <w:sz w:val="20"/>
        </w:rPr>
        <w:t>” shall have the meaning ascribed to such term in the Preamble.</w:t>
      </w:r>
    </w:p>
    <w:p>
      <w:pPr>
        <w:pStyle w:val="TextBody"/>
        <w:bidi w:val="0"/>
        <w:spacing w:before="0" w:after="240"/>
        <w:jc w:val="both"/>
        <w:rPr/>
      </w:pPr>
      <w:r>
        <w:rPr>
          <w:color w:val="000000"/>
        </w:rPr>
        <w:t>“</w:t>
      </w:r>
      <w:r>
        <w:rPr>
          <w:rFonts w:ascii="Times New Roman" w:hAnsi="Times New Roman"/>
          <w:color w:val="000000"/>
          <w:sz w:val="20"/>
          <w:u w:val="single"/>
        </w:rPr>
        <w:t>Purchaser Party</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4.8</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Registration Statement</w:t>
      </w:r>
      <w:r>
        <w:rPr>
          <w:rFonts w:ascii="Times New Roman" w:hAnsi="Times New Roman"/>
          <w:color w:val="000000"/>
          <w:sz w:val="20"/>
        </w:rPr>
        <w:t>” means the effective registration statement on Form S-3 filed with the SEC (File No. 333-289748), which became effective under Section 8(a) of the Securities Act on November 27, 2025and which registers the sale of the Securities to the Purchasers.</w:t>
      </w:r>
    </w:p>
    <w:p>
      <w:pPr>
        <w:pStyle w:val="TextBody"/>
        <w:bidi w:val="0"/>
        <w:spacing w:before="0" w:after="240"/>
        <w:jc w:val="both"/>
        <w:rPr/>
      </w:pPr>
      <w:r>
        <w:rPr>
          <w:color w:val="000000"/>
        </w:rPr>
        <w:t>“</w:t>
      </w:r>
      <w:r>
        <w:rPr>
          <w:rFonts w:ascii="Times New Roman" w:hAnsi="Times New Roman"/>
          <w:color w:val="000000"/>
          <w:sz w:val="20"/>
          <w:u w:val="single"/>
        </w:rPr>
        <w:t>Required Approvals</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3.1(e)</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Rule 144</w:t>
      </w:r>
      <w:r>
        <w:rPr>
          <w:rFonts w:ascii="Times New Roman" w:hAnsi="Times New Roman"/>
          <w:color w:val="000000"/>
          <w:sz w:val="20"/>
        </w:rPr>
        <w:t>” means Rule 144 promulgated by the SEC pursuant to the Securities Act, as such Rule may be amended or interpreted from time to time, or any similar rule or regulation hereafter adopted by the SEC having substantially the same purpose and effect as such Rule.</w:t>
      </w:r>
    </w:p>
    <w:p>
      <w:pPr>
        <w:pStyle w:val="TextBody"/>
        <w:bidi w:val="0"/>
        <w:spacing w:before="0" w:after="240"/>
        <w:jc w:val="both"/>
        <w:rPr/>
      </w:pPr>
      <w:r>
        <w:rPr>
          <w:color w:val="000000"/>
        </w:rPr>
        <w:t>“</w:t>
      </w:r>
      <w:r>
        <w:rPr>
          <w:rFonts w:ascii="Times New Roman" w:hAnsi="Times New Roman"/>
          <w:color w:val="000000"/>
          <w:sz w:val="20"/>
          <w:u w:val="single"/>
        </w:rPr>
        <w:t>Rule 424</w:t>
      </w:r>
      <w:r>
        <w:rPr>
          <w:rFonts w:ascii="Times New Roman" w:hAnsi="Times New Roman"/>
          <w:color w:val="000000"/>
          <w:sz w:val="20"/>
        </w:rPr>
        <w:t>” means Rule 424 promulgated by the SEC pursuant to the Securities Act, as such Rule may be amended or interpreted from time to time, or any similar rule or regulation hereafter adopted by the SEC having substantially the same purpose and effect as such Rule.</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4</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SEC</w:t>
      </w:r>
      <w:r>
        <w:rPr>
          <w:rFonts w:ascii="Times New Roman" w:hAnsi="Times New Roman"/>
          <w:color w:val="000000"/>
          <w:sz w:val="20"/>
        </w:rPr>
        <w:t>” means the Securities and Exchange Commission.</w:t>
      </w:r>
    </w:p>
    <w:p>
      <w:pPr>
        <w:pStyle w:val="TextBody"/>
        <w:bidi w:val="0"/>
        <w:spacing w:before="0" w:after="240"/>
        <w:jc w:val="both"/>
        <w:rPr/>
      </w:pPr>
      <w:r>
        <w:rPr>
          <w:color w:val="000000"/>
        </w:rPr>
        <w:t>“</w:t>
      </w:r>
      <w:r>
        <w:rPr>
          <w:rFonts w:ascii="Times New Roman" w:hAnsi="Times New Roman"/>
          <w:color w:val="000000"/>
          <w:sz w:val="20"/>
          <w:u w:val="single"/>
        </w:rPr>
        <w:t>SEC Reports</w:t>
      </w:r>
      <w:r>
        <w:rPr>
          <w:rFonts w:ascii="Times New Roman" w:hAnsi="Times New Roman"/>
          <w:color w:val="000000"/>
          <w:sz w:val="20"/>
        </w:rPr>
        <w:t>” shall have the meaning ascribed to such term in Section 3.1(h).</w:t>
      </w:r>
    </w:p>
    <w:p>
      <w:pPr>
        <w:pStyle w:val="TextBody"/>
        <w:bidi w:val="0"/>
        <w:spacing w:before="0" w:after="240"/>
        <w:jc w:val="both"/>
        <w:rPr/>
      </w:pPr>
      <w:r>
        <w:rPr>
          <w:color w:val="000000"/>
        </w:rPr>
        <w:t>“</w:t>
      </w:r>
      <w:r>
        <w:rPr>
          <w:rFonts w:ascii="Times New Roman" w:hAnsi="Times New Roman"/>
          <w:color w:val="000000"/>
          <w:sz w:val="20"/>
          <w:u w:val="single"/>
        </w:rPr>
        <w:t>Securities</w:t>
      </w:r>
      <w:r>
        <w:rPr>
          <w:rFonts w:ascii="Times New Roman" w:hAnsi="Times New Roman"/>
          <w:color w:val="000000"/>
          <w:sz w:val="20"/>
        </w:rPr>
        <w:t>” means the Shares and the Pre-Funded Warrants.</w:t>
      </w:r>
    </w:p>
    <w:p>
      <w:pPr>
        <w:pStyle w:val="TextBody"/>
        <w:bidi w:val="0"/>
        <w:spacing w:before="0" w:after="240"/>
        <w:jc w:val="both"/>
        <w:rPr/>
      </w:pPr>
      <w:r>
        <w:rPr>
          <w:color w:val="000000"/>
        </w:rPr>
        <w:t>“</w:t>
      </w:r>
      <w:r>
        <w:rPr>
          <w:rFonts w:ascii="Times New Roman" w:hAnsi="Times New Roman"/>
          <w:color w:val="000000"/>
          <w:sz w:val="20"/>
          <w:u w:val="single"/>
        </w:rPr>
        <w:t>Securities Act</w:t>
      </w:r>
      <w:r>
        <w:rPr>
          <w:rFonts w:ascii="Times New Roman" w:hAnsi="Times New Roman"/>
          <w:color w:val="000000"/>
          <w:sz w:val="20"/>
        </w:rPr>
        <w:t>” means the Securities Act of 1933, as amended, and the rules and regulations promulgated thereunder.</w:t>
      </w:r>
    </w:p>
    <w:p>
      <w:pPr>
        <w:pStyle w:val="TextBody"/>
        <w:bidi w:val="0"/>
        <w:spacing w:before="0" w:after="240"/>
        <w:jc w:val="both"/>
        <w:rPr/>
      </w:pPr>
      <w:r>
        <w:rPr>
          <w:color w:val="000000"/>
        </w:rPr>
        <w:t>“</w:t>
      </w:r>
      <w:r>
        <w:rPr>
          <w:rFonts w:ascii="Times New Roman" w:hAnsi="Times New Roman"/>
          <w:color w:val="000000"/>
          <w:sz w:val="20"/>
          <w:u w:val="single"/>
        </w:rPr>
        <w:t>Shares</w:t>
      </w:r>
      <w:r>
        <w:rPr>
          <w:rFonts w:ascii="Times New Roman" w:hAnsi="Times New Roman"/>
          <w:color w:val="000000"/>
          <w:sz w:val="20"/>
        </w:rPr>
        <w:t>” means the shares of Common Stock which are issuable to each Purchaser pursuant to this Agreement.</w:t>
      </w:r>
    </w:p>
    <w:p>
      <w:pPr>
        <w:pStyle w:val="TextBody"/>
        <w:bidi w:val="0"/>
        <w:spacing w:before="0" w:after="240"/>
        <w:jc w:val="both"/>
        <w:rPr/>
      </w:pPr>
      <w:r>
        <w:rPr>
          <w:color w:val="000000"/>
        </w:rPr>
        <w:t>“</w:t>
      </w:r>
      <w:r>
        <w:rPr>
          <w:rFonts w:ascii="Times New Roman" w:hAnsi="Times New Roman"/>
          <w:color w:val="000000"/>
          <w:sz w:val="20"/>
          <w:u w:val="single"/>
        </w:rPr>
        <w:t>Shell Bank</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3.2(h)</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0"/>
          <w:u w:val="single"/>
        </w:rPr>
        <w:t>Short Sales</w:t>
      </w:r>
      <w:r>
        <w:rPr>
          <w:rFonts w:ascii="Times New Roman" w:hAnsi="Times New Roman"/>
          <w:color w:val="000000"/>
          <w:sz w:val="20"/>
        </w:rPr>
        <w:t>” means all “short sales” as defined in Rule 200 of Regulation SHO under the Exchange Act (but shall not be deemed to include locating and/or borrowing shares of Common Stock).</w:t>
      </w:r>
    </w:p>
    <w:p>
      <w:pPr>
        <w:pStyle w:val="TextBody"/>
        <w:bidi w:val="0"/>
        <w:spacing w:before="0" w:after="240"/>
        <w:jc w:val="both"/>
        <w:rPr/>
      </w:pPr>
      <w:r>
        <w:rPr>
          <w:color w:val="000000"/>
        </w:rPr>
        <w:t>“</w:t>
      </w:r>
      <w:r>
        <w:rPr>
          <w:rFonts w:ascii="Times New Roman" w:hAnsi="Times New Roman"/>
          <w:color w:val="000000"/>
          <w:sz w:val="20"/>
          <w:u w:val="single"/>
        </w:rPr>
        <w:t>Subscription Amount</w:t>
      </w:r>
      <w:r>
        <w:rPr>
          <w:rFonts w:ascii="Times New Roman" w:hAnsi="Times New Roman"/>
          <w:color w:val="000000"/>
          <w:sz w:val="20"/>
        </w:rPr>
        <w:t>” means, as to each Purchaser, the aggregate amount to be paid for the Shares or Pre-Funded Warrants (in lieu of Shares)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 for cash).</w:t>
      </w:r>
    </w:p>
    <w:p>
      <w:pPr>
        <w:pStyle w:val="TextBody"/>
        <w:bidi w:val="0"/>
        <w:spacing w:before="0" w:after="240"/>
        <w:jc w:val="both"/>
        <w:rPr/>
      </w:pPr>
      <w:r>
        <w:rPr>
          <w:color w:val="000000"/>
        </w:rPr>
        <w:t>“</w:t>
      </w:r>
      <w:r>
        <w:rPr>
          <w:rFonts w:ascii="Times New Roman" w:hAnsi="Times New Roman"/>
          <w:color w:val="000000"/>
          <w:sz w:val="20"/>
          <w:u w:val="single"/>
        </w:rPr>
        <w:t>Subsidiary</w:t>
      </w:r>
      <w:r>
        <w:rPr>
          <w:rFonts w:ascii="Times New Roman" w:hAnsi="Times New Roman"/>
          <w:color w:val="000000"/>
          <w:sz w:val="20"/>
        </w:rPr>
        <w:t>” of any person means any corporation, partnership, limited liability company, joint stock company, joint venture or other organization or entity, whether incorporated or unincorporated, which is Controlled by such Person, and shall, where applicable, also include any direct or indirect subsidiary of the Company formed or acquired after the date of this Agreement.</w:t>
      </w:r>
    </w:p>
    <w:p>
      <w:pPr>
        <w:pStyle w:val="TextBody"/>
        <w:bidi w:val="0"/>
        <w:spacing w:before="0" w:after="240"/>
        <w:jc w:val="both"/>
        <w:rPr/>
      </w:pPr>
      <w:r>
        <w:rPr>
          <w:color w:val="000000"/>
        </w:rPr>
        <w:t>“</w:t>
      </w:r>
      <w:r>
        <w:rPr>
          <w:rFonts w:ascii="Times New Roman" w:hAnsi="Times New Roman"/>
          <w:color w:val="000000"/>
          <w:sz w:val="20"/>
          <w:u w:val="single"/>
        </w:rPr>
        <w:t>Trading Day</w:t>
      </w:r>
      <w:r>
        <w:rPr>
          <w:rFonts w:ascii="Times New Roman" w:hAnsi="Times New Roman"/>
          <w:color w:val="000000"/>
          <w:sz w:val="20"/>
        </w:rPr>
        <w:t>” means a day on which the principal Trading Market is open for trading.</w:t>
      </w:r>
    </w:p>
    <w:p>
      <w:pPr>
        <w:pStyle w:val="TextBody"/>
        <w:bidi w:val="0"/>
        <w:spacing w:before="0" w:after="240"/>
        <w:jc w:val="both"/>
        <w:rPr/>
      </w:pPr>
      <w:r>
        <w:rPr>
          <w:color w:val="000000"/>
        </w:rPr>
        <w:t>“</w:t>
      </w:r>
      <w:r>
        <w:rPr>
          <w:rFonts w:ascii="Times New Roman" w:hAnsi="Times New Roman"/>
          <w:color w:val="000000"/>
          <w:sz w:val="20"/>
          <w:u w:val="single"/>
        </w:rPr>
        <w:t>Trading Market</w:t>
      </w:r>
      <w:r>
        <w:rPr>
          <w:rFonts w:ascii="Times New Roman" w:hAnsi="Times New Roman"/>
          <w:color w:val="000000"/>
          <w:sz w:val="20"/>
        </w:rPr>
        <w:t>” means any of the following markets or exchanges on which the shares of Common Stock are listed or quoted for trading on the date in question: the Nasdaq Capital Market, the Nasdaq Global Market, the Nasdaq Global Select Market, the New York Stock Exchange, or the NYSE American (or any successors to any of the foregoing).</w:t>
      </w:r>
    </w:p>
    <w:p>
      <w:pPr>
        <w:pStyle w:val="TextBody"/>
        <w:bidi w:val="0"/>
        <w:spacing w:before="0" w:after="240"/>
        <w:jc w:val="both"/>
        <w:rPr/>
      </w:pPr>
      <w:r>
        <w:rPr>
          <w:color w:val="000000"/>
        </w:rPr>
        <w:t>“</w:t>
      </w:r>
      <w:r>
        <w:rPr>
          <w:rFonts w:ascii="Times New Roman" w:hAnsi="Times New Roman"/>
          <w:color w:val="000000"/>
          <w:sz w:val="20"/>
          <w:u w:val="single"/>
        </w:rPr>
        <w:t>Transaction Documents</w:t>
      </w:r>
      <w:r>
        <w:rPr>
          <w:rFonts w:ascii="Times New Roman" w:hAnsi="Times New Roman"/>
          <w:color w:val="000000"/>
          <w:sz w:val="20"/>
        </w:rPr>
        <w:t>” means this Agreement, the Lock-Up Agreements, the Warrants, all exhibits and schedules thereto and hereto and any other documents or agreements executed in connection with the transactions contemplated hereunder.</w:t>
      </w:r>
    </w:p>
    <w:p>
      <w:pPr>
        <w:pStyle w:val="TextBody"/>
        <w:bidi w:val="0"/>
        <w:spacing w:before="0" w:after="240"/>
        <w:jc w:val="both"/>
        <w:rPr/>
      </w:pPr>
      <w:r>
        <w:rPr>
          <w:color w:val="000000"/>
        </w:rPr>
        <w:t>“</w:t>
      </w:r>
      <w:r>
        <w:rPr>
          <w:rFonts w:ascii="Times New Roman" w:hAnsi="Times New Roman"/>
          <w:color w:val="000000"/>
          <w:sz w:val="20"/>
          <w:u w:val="single"/>
        </w:rPr>
        <w:t>Transfer Agent</w:t>
      </w:r>
      <w:r>
        <w:rPr>
          <w:rFonts w:ascii="Times New Roman" w:hAnsi="Times New Roman"/>
          <w:color w:val="000000"/>
          <w:sz w:val="20"/>
        </w:rPr>
        <w:t>” means Equiniti Group, the current transfer agent of the Company, with a mailing address of 1110 Center Pointe Curve, Suite 101, Mendota Heights, MN 55120-4100, and any successor transfer agent of the Company.</w:t>
      </w:r>
    </w:p>
    <w:p>
      <w:pPr>
        <w:pStyle w:val="TextBody"/>
        <w:bidi w:val="0"/>
        <w:spacing w:before="0" w:after="240"/>
        <w:jc w:val="both"/>
        <w:rPr/>
      </w:pPr>
      <w:r>
        <w:rPr>
          <w:color w:val="000000"/>
        </w:rPr>
        <w:t>“</w:t>
      </w:r>
      <w:r>
        <w:rPr>
          <w:rFonts w:ascii="Times New Roman" w:hAnsi="Times New Roman"/>
          <w:color w:val="000000"/>
          <w:sz w:val="20"/>
          <w:u w:val="single"/>
        </w:rPr>
        <w:t>Variable Rate Transaction</w:t>
      </w:r>
      <w:r>
        <w:rPr>
          <w:rFonts w:ascii="Times New Roman" w:hAnsi="Times New Roman"/>
          <w:color w:val="000000"/>
          <w:sz w:val="20"/>
        </w:rPr>
        <w:t xml:space="preserve">” shall have the meaning ascribed to such term in </w:t>
      </w:r>
      <w:r>
        <w:rPr>
          <w:rFonts w:ascii="Times New Roman" w:hAnsi="Times New Roman"/>
          <w:color w:val="000000"/>
          <w:sz w:val="20"/>
          <w:u w:val="single"/>
        </w:rPr>
        <w:t>Section 4.11(b)</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0"/>
          <w:u w:val="single"/>
        </w:rPr>
        <w:t>VWAP</w:t>
      </w:r>
      <w:r>
        <w:rPr>
          <w:rFonts w:ascii="Times New Roman" w:hAnsi="Times New Roman"/>
          <w:color w:val="000000"/>
          <w:sz w:val="20"/>
        </w:rPr>
        <w:t xml:space="preserve">” means, for any date, the price determined by the first of the following clauses that applies: (i) if the shares of Common Stock are then listed or quoted on a Trading Market, the daily volume weighted average price of a share of Common Stock for such date (or the nearest preceding date) on the Trading Market on which the shares of Common Stock are then listed or quoted as reported by Bloomberg L.P. (based on a Trading Day from 9:30 a.m. (New York, NY time) to 4:02 p.m. (New York, NY time)), (ii) if the OTCQB or OTCQX is not a Trading Market, the volume weighted average price of a share of Common Stock for such date (or the nearest preceding date) on the OTCQB or OTCQX, (iii) if shares of Common Stock are not then listed or quoted for trading on the OTCQB or OTCQX and if prices for shares of Common Stock are then reported in the “Pink Sheets” published by OTC Markets Group, Inc. (or a similar organization or agency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5</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succeeding to its functions of reporting prices), the most recent bid price per share of Common Stock so reported, or (iv) in all other cases, the fair market value per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240"/>
        <w:jc w:val="both"/>
        <w:rPr/>
      </w:pPr>
      <w:r>
        <w:rPr>
          <w:color w:val="000000"/>
        </w:rPr>
        <w:t>“</w:t>
      </w:r>
      <w:r>
        <w:rPr>
          <w:rFonts w:ascii="Times New Roman" w:hAnsi="Times New Roman"/>
          <w:color w:val="000000"/>
          <w:sz w:val="20"/>
          <w:u w:val="single"/>
        </w:rPr>
        <w:t>Warrants</w:t>
      </w:r>
      <w:r>
        <w:rPr>
          <w:rFonts w:ascii="Times New Roman" w:hAnsi="Times New Roman"/>
          <w:color w:val="000000"/>
          <w:sz w:val="20"/>
        </w:rPr>
        <w:t>” means the Pre-Funded Warrants.</w:t>
      </w:r>
    </w:p>
    <w:p>
      <w:pPr>
        <w:pStyle w:val="TextBody"/>
        <w:bidi w:val="0"/>
        <w:spacing w:before="0" w:after="240"/>
        <w:jc w:val="both"/>
        <w:rPr/>
      </w:pPr>
      <w:r>
        <w:rPr>
          <w:color w:val="000000"/>
        </w:rPr>
        <w:t>“</w:t>
      </w:r>
      <w:r>
        <w:rPr>
          <w:rFonts w:ascii="Times New Roman" w:hAnsi="Times New Roman"/>
          <w:color w:val="000000"/>
          <w:sz w:val="20"/>
          <w:u w:val="single"/>
        </w:rPr>
        <w:t>Warrant Shares</w:t>
      </w:r>
      <w:r>
        <w:rPr>
          <w:rFonts w:ascii="Times New Roman" w:hAnsi="Times New Roman"/>
          <w:color w:val="000000"/>
          <w:sz w:val="20"/>
        </w:rPr>
        <w:t>” means the shares of Common Stock issuable upon exercise of the Warrants.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II.</w:t>
        <w:br/>
        <w:t>PURCHASE AND SALE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2.1 </w:t>
      </w:r>
      <w:r>
        <w:rPr>
          <w:rFonts w:ascii="Times New Roman" w:hAnsi="Times New Roman"/>
          <w:color w:val="000000"/>
          <w:sz w:val="20"/>
          <w:u w:val="single"/>
        </w:rPr>
        <w:t>Closing</w:t>
      </w:r>
      <w:r>
        <w:rPr>
          <w:rFonts w:ascii="Times New Roman" w:hAnsi="Times New Roman"/>
          <w:color w:val="000000"/>
          <w:sz w:val="20"/>
        </w:rPr>
        <w:t xml:space="preserve">. On the Closing Date, upon the terms and subject to the conditions set forth herein, substantially concurrent with the execution and delivery of this Agreement by the parties hereto, the Company agrees to offer and sell, and the Purchasers, severally and not jointly, agree to purchase, up to an aggregate of $1,120,000.54 of the Shares and/or Pre-Funded Warrants. Notwithstanding anything herein to the contrary, to the extent that a Purchaser determines, in its sole discretion, that such Purchaser’s Subscription Amount (together with such Purchaser’s Affiliates, and any Person acting as a group together with such Purchaser or any of such Purchaser’s Affiliates) would cause such Purchaser’s beneficial ownership of the shares of Common Stock to exceed the Beneficial Ownership Limitation, or as such Purchaser may otherwise choose, such Purchaser may elect to purchase Pre-Funded Warrants in lieu of the Shares as determined pursuant to </w:t>
      </w:r>
      <w:r>
        <w:rPr>
          <w:rFonts w:ascii="Times New Roman" w:hAnsi="Times New Roman"/>
          <w:color w:val="000000"/>
          <w:sz w:val="20"/>
          <w:u w:val="single"/>
        </w:rPr>
        <w:t>Section 2.2(a)</w:t>
      </w:r>
      <w:r>
        <w:rPr>
          <w:rFonts w:ascii="Times New Roman" w:hAnsi="Times New Roman"/>
          <w:color w:val="000000"/>
          <w:sz w:val="20"/>
        </w:rPr>
        <w:t>. The “</w:t>
      </w:r>
      <w:r>
        <w:rPr>
          <w:rFonts w:ascii="Times New Roman" w:hAnsi="Times New Roman"/>
          <w:color w:val="000000"/>
          <w:sz w:val="20"/>
          <w:u w:val="single"/>
        </w:rPr>
        <w:t>Beneficial Ownership Limitation</w:t>
      </w:r>
      <w:r>
        <w:rPr>
          <w:rFonts w:ascii="Times New Roman" w:hAnsi="Times New Roman"/>
          <w:color w:val="000000"/>
          <w:sz w:val="20"/>
        </w:rPr>
        <w:t>” shall be 4.99% (or, with respect to each Purchaser, at the election of the Purchaser at Closing, 9.99%) of the number of shares of the Common Stock outstanding immediately after giving effect to the issuance of the Shares on the Closing Date. In each case, the election to receive Pre-Funded Warrants is solely at the option of the Purchaser. Each Purchaser’s Subscription Amount as set forth on the signature page hereto executed by such Purchaser shall be made available for “Delivery Versus Payment” (“</w:t>
      </w:r>
      <w:r>
        <w:rPr>
          <w:rFonts w:ascii="Times New Roman" w:hAnsi="Times New Roman"/>
          <w:color w:val="000000"/>
          <w:sz w:val="20"/>
          <w:u w:val="single"/>
        </w:rPr>
        <w:t>DVP</w:t>
      </w:r>
      <w:r>
        <w:rPr>
          <w:rFonts w:ascii="Times New Roman" w:hAnsi="Times New Roman"/>
          <w:color w:val="000000"/>
          <w:sz w:val="20"/>
        </w:rPr>
        <w:t xml:space="preserve">”) settlement with the Company or its designee. The Company shall deliver to each Purchaser its respective Shares and/or Pre-Funded Warrants, as applicable to such Purchaser and as indicated on such Purchaser’s signature page hereto and determined based on its respective Subscription Amount and election for Shares and/or Pre-Funded Warrants, and the Company and each Purchaser shall deliver the other items set forth in </w:t>
      </w:r>
      <w:r>
        <w:rPr>
          <w:rFonts w:ascii="Times New Roman" w:hAnsi="Times New Roman"/>
          <w:color w:val="000000"/>
          <w:sz w:val="20"/>
          <w:u w:val="single"/>
        </w:rPr>
        <w:t>Section 2.2</w:t>
      </w:r>
      <w:r>
        <w:rPr>
          <w:rFonts w:ascii="Times New Roman" w:hAnsi="Times New Roman"/>
          <w:color w:val="000000"/>
          <w:sz w:val="20"/>
        </w:rPr>
        <w:t xml:space="preserve"> deliverable at the Closing. Upon satisfaction of the covenants and conditions set forth in </w:t>
      </w:r>
      <w:r>
        <w:rPr>
          <w:rFonts w:ascii="Times New Roman" w:hAnsi="Times New Roman"/>
          <w:color w:val="000000"/>
          <w:sz w:val="20"/>
          <w:u w:val="single"/>
        </w:rPr>
        <w:t>Sections 2.2</w:t>
      </w:r>
      <w:r>
        <w:rPr>
          <w:rFonts w:ascii="Times New Roman" w:hAnsi="Times New Roman"/>
          <w:color w:val="000000"/>
          <w:sz w:val="20"/>
        </w:rPr>
        <w:t xml:space="preserve"> and </w:t>
      </w:r>
      <w:r>
        <w:rPr>
          <w:rFonts w:ascii="Times New Roman" w:hAnsi="Times New Roman"/>
          <w:color w:val="000000"/>
          <w:sz w:val="20"/>
          <w:u w:val="single"/>
        </w:rPr>
        <w:t>2.3</w:t>
      </w:r>
      <w:r>
        <w:rPr>
          <w:rFonts w:ascii="Times New Roman" w:hAnsi="Times New Roman"/>
          <w:color w:val="000000"/>
          <w:sz w:val="20"/>
        </w:rPr>
        <w:t>, the Closing shall occur remotely by electronic transfer of the Transaction Documents and other items deliverable hereunder. Unless otherwise directed by the Placement Agent, settlement of the Shares shall occur via DVP (i.e., on the Closing Date, the Company shall issue the Securities registered in the Purchasers’ names and addresses, and the Shares shall be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2.2 </w:t>
      </w:r>
      <w:r>
        <w:rPr>
          <w:rFonts w:ascii="Times New Roman" w:hAnsi="Times New Roman"/>
          <w:color w:val="000000"/>
          <w:sz w:val="20"/>
          <w:u w:val="single"/>
        </w:rPr>
        <w:t>Deliveries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On or prior to the Closing Date, the Company shall deliver or cause to be delivered to each Purchaser the following: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this Agreement duly executed by the Company;</w:t>
      </w:r>
    </w:p>
    <w:p>
      <w:pPr>
        <w:pStyle w:val="TextBody"/>
        <w:bidi w:val="0"/>
        <w:spacing w:before="0" w:after="240"/>
        <w:jc w:val="both"/>
        <w:rPr>
          <w:rFonts w:ascii="Times New Roman" w:hAnsi="Times New Roman"/>
          <w:sz w:val="20"/>
        </w:rPr>
      </w:pPr>
      <w:r>
        <w:rPr>
          <w:rFonts w:ascii="Times New Roman" w:hAnsi="Times New Roman"/>
          <w:color w:val="000000"/>
          <w:sz w:val="20"/>
        </w:rPr>
        <w:t>(ii) a copy of the irrevocable instructions to the Transfer Agent instructing the Transfer Agent to deliver on an expedited basis via The Depository Trust Company Deposit or Withdrawal at Custodian system (“</w:t>
      </w:r>
      <w:r>
        <w:rPr>
          <w:rFonts w:ascii="Times New Roman" w:hAnsi="Times New Roman"/>
          <w:color w:val="000000"/>
          <w:sz w:val="20"/>
          <w:u w:val="single"/>
        </w:rPr>
        <w:t>DWAC</w:t>
      </w:r>
      <w:r>
        <w:rPr>
          <w:rFonts w:ascii="Times New Roman" w:hAnsi="Times New Roman"/>
          <w:color w:val="000000"/>
          <w:sz w:val="20"/>
        </w:rPr>
        <w:t>”) Shares equal to such Purchaser’s Subscription Amount divided by the Per Share Purchase Price (minus the number of shares of Common Stock issuable upon exercise of such Purchaser’s Pre-Funded Warrant, if applicable), registered in the name of such Purchaser;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duly executed Pre-Funded Warrants, if any, issued and registered in the name of such Purchaser, as applicable, to such Purchaser;</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6</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a legal opinion of Company Counsel in a form reasonably acceptable to the Placement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 a good standing certificate or its equivalent of the Company by the relevant competent state or local government authority or registrar of companies or entities as applicable, dated as of a date within ten (10) days of the Closing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 a certificate executed by the Chief Executive Officer of the Company, in form and substance reasonably satisfactory to the Placement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 a certificate executed by the Secretary of the Company, in form and substance reasonably satisfactory to the Placement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(viii) Lock-up Agreements, in form and substance reasonably acceptable to the Placement Agent, executed by the Company and each officer and director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(ix) the Company’s wire instructions, on Company letterhead and executed by the Chief Executive Officer or Chief Financial Officer;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 the Prospectus (which may be delivered in accordance with Rule 172 under the Securities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On or prior to the Closing Date, each Purchaser shall deliver or cause to be delivered to the Company the following: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this Agreement duly executed by such Purchaser;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such Purchaser’s Subscription Amount (minus, if applicable, a Purchasers aggregate exercise price of the Pre-Funded Warrants, which amounts shall be paid as and when such Pre-Funded Warrants are exercised for cash), which shall be made available for DVP settlement with the Company or its designees.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2.3 </w:t>
      </w:r>
      <w:r>
        <w:rPr>
          <w:rFonts w:ascii="Times New Roman" w:hAnsi="Times New Roman"/>
          <w:color w:val="000000"/>
          <w:sz w:val="20"/>
          <w:u w:val="single"/>
        </w:rPr>
        <w:t>Closing Conditions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Subject to </w:t>
      </w:r>
      <w:r>
        <w:rPr>
          <w:rFonts w:ascii="Times New Roman" w:hAnsi="Times New Roman"/>
          <w:color w:val="000000"/>
          <w:sz w:val="20"/>
          <w:u w:val="single"/>
        </w:rPr>
        <w:t>Section 5.21</w:t>
      </w:r>
      <w:r>
        <w:rPr>
          <w:rFonts w:ascii="Times New Roman" w:hAnsi="Times New Roman"/>
          <w:color w:val="000000"/>
          <w:sz w:val="20"/>
        </w:rPr>
        <w:t xml:space="preserve"> below, as applicable, the obligations of the Company hereunder in connection with the Closing are subject to the following conditions being met: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the accuracy in all material respects (or, to the extent representations or warranties are qualified by materiality or Material Adverse Effect, in all respects) when made and on the Closing Date of the representations and warranties of the Purchasers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all obligations, covenants and agreements of each Purchaser required to be performed at or prior to the Closing Date shall have been performed;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the delivery by each Purchaser of the items set forth in </w:t>
      </w:r>
      <w:r>
        <w:rPr>
          <w:rFonts w:ascii="Times New Roman" w:hAnsi="Times New Roman"/>
          <w:color w:val="000000"/>
          <w:sz w:val="20"/>
          <w:u w:val="single"/>
        </w:rPr>
        <w:t>Section 2.2(b)</w:t>
      </w:r>
      <w:r>
        <w:rPr>
          <w:rFonts w:ascii="Times New Roman" w:hAnsi="Times New Roman"/>
          <w:color w:val="000000"/>
          <w:sz w:val="20"/>
        </w:rPr>
        <w:t xml:space="preserve"> of this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Subject to </w:t>
      </w:r>
      <w:r>
        <w:rPr>
          <w:rFonts w:ascii="Times New Roman" w:hAnsi="Times New Roman"/>
          <w:color w:val="000000"/>
          <w:sz w:val="20"/>
          <w:u w:val="single"/>
        </w:rPr>
        <w:t>Section 5.21</w:t>
      </w:r>
      <w:r>
        <w:rPr>
          <w:rFonts w:ascii="Times New Roman" w:hAnsi="Times New Roman"/>
          <w:color w:val="000000"/>
          <w:sz w:val="20"/>
        </w:rPr>
        <w:t xml:space="preserve"> below, as applicable, the respective obligations of the Purchasers hereunder in connection with the Closing are subject to the following conditions being met: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 the accuracy in all material respects (or, to the extent representations or warranties are qualified by materiality or Material Adverse Effect, in all respects) when made and on the Closing Date of the representations and warranties of the Company contained herein (unless such representation or warranty is as of a specific date therein in which case they shall be accurate in all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7</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material respects (or, to the extent representations or warranties are qualified by materiality or Material Adverse Effect, in all respects) as of such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all obligations, covenants and agreements of the Company required to be performed at or prior to the Closing Date shall have been performed;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the delivery by the Company of the items set forth in </w:t>
      </w:r>
      <w:r>
        <w:rPr>
          <w:rFonts w:ascii="Times New Roman" w:hAnsi="Times New Roman"/>
          <w:color w:val="000000"/>
          <w:sz w:val="20"/>
          <w:u w:val="single"/>
        </w:rPr>
        <w:t>Section 2.2(a)</w:t>
      </w:r>
      <w:r>
        <w:rPr>
          <w:rFonts w:ascii="Times New Roman" w:hAnsi="Times New Roman"/>
          <w:color w:val="000000"/>
          <w:sz w:val="20"/>
        </w:rPr>
        <w:t xml:space="preserve"> of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there shall have been no Material Adverse Effect with respect to the Company since the date of this Agreement and to the Closing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(v) from the date of this Agreement to the Closing Date, trading in the shares of Common Stock shall not have been suspended by the SEC or any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 no stop order suspending the effectiveness of the Registration Statement, or any post-effective amendment thereto, has been issued under the Securities Act;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(vii) all obligations, covenants and agreements of the Company required to be performed under the Placement Agency Agreement at or prior to the Closing Date shall have been performed.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III.</w:t>
        <w:br/>
        <w:t>REPRESENTATIONS AND WARRANTIES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3.1 </w:t>
      </w:r>
      <w:r>
        <w:rPr>
          <w:rFonts w:ascii="Times New Roman" w:hAnsi="Times New Roman"/>
          <w:color w:val="000000"/>
          <w:sz w:val="20"/>
          <w:u w:val="single"/>
        </w:rPr>
        <w:t>Representations and Warranties of the Company</w:t>
      </w:r>
      <w:r>
        <w:rPr>
          <w:rFonts w:ascii="Times New Roman" w:hAnsi="Times New Roman"/>
          <w:color w:val="000000"/>
          <w:sz w:val="20"/>
        </w:rPr>
        <w:t>. The Company hereby makes the following representations and warranties to each Purchaser as of the date hereof and as of the Closing Date (unless as of a specific date therein, in which case they shall be accurate as of such date):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Subsidiaries</w:t>
      </w:r>
      <w:r>
        <w:rPr>
          <w:rFonts w:ascii="Times New Roman" w:hAnsi="Times New Roman"/>
          <w:color w:val="000000"/>
          <w:sz w:val="20"/>
        </w:rPr>
        <w:t>. All of the direct and indirect Subsidiaries of the Company, if any, are set forth in the Registration Statement.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Organization and Qualification</w:t>
      </w:r>
      <w:r>
        <w:rPr>
          <w:rFonts w:ascii="Times New Roman" w:hAnsi="Times New Roman"/>
          <w:color w:val="000000"/>
          <w:sz w:val="20"/>
        </w:rPr>
        <w:t xml:space="preserve">. The Company and each of the Subsidiaries is an entity duly incorporated or otherwise organized, validly existing and, if applicable under the laws of the jurisdiction in which they are formed, in good standing under the laws of the jurisdiction of its incorporation or organization, with the requisite power and authority to own and use its properties and assets and to carry on its business as currently conducted. The Company and each of the Subsidiaries has all necessary authorizations, approvals, orders, licenses, certificates and permits of and from all governmental regulatory officials and bodies that it needs as of the date of this Agreement to conduct its business purpose in all material respects as described in the Registration Statement and SEC Reports and to own or lease its properties. Neither the Company nor any Subsidiary is in violation nor default of any of the provisions of its respective certificate or articles of incorporation or association,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8</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hAnsi="Times New Roman"/>
          <w:color w:val="000000"/>
          <w:sz w:val="20"/>
          <w:u w:val="single"/>
        </w:rPr>
        <w:t>Material Adverse Effect</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a change in the market price or trading volume of the Common Stock alone shall not be deemed, in and of itself, to constitute a Material Adverse Effect. No Proceeding has been instituted in any such jurisdiction revoking, limiting or curtailing or seeking to revoke, limit or curtail such power and authority or qualification.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Authorization; Enforcement</w:t>
      </w:r>
      <w:r>
        <w:rPr>
          <w:rFonts w:ascii="Times New Roman" w:hAnsi="Times New Roman"/>
          <w:color w:val="000000"/>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No Conflicts</w:t>
      </w:r>
      <w:r>
        <w:rPr>
          <w:rFonts w:ascii="Times New Roman" w:hAnsi="Times New Roman"/>
          <w:color w:val="000000"/>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or association,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Filings, Consents and Approvals</w:t>
      </w:r>
      <w:r>
        <w:rPr>
          <w:rFonts w:ascii="Times New Roman" w:hAnsi="Times New Roman"/>
          <w:color w:val="000000"/>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SEC of the Prospectus, (iii) application(s) to each applicable Trading Market for the listing of the Shares and the Warrant Shares for trading thereon in the time and manner required thereby, and (iv) such filings as are required to be made under applicable state securities laws (collectively, the “</w:t>
      </w:r>
      <w:r>
        <w:rPr>
          <w:rFonts w:ascii="Times New Roman" w:hAnsi="Times New Roman"/>
          <w:color w:val="000000"/>
          <w:sz w:val="20"/>
          <w:u w:val="single"/>
        </w:rPr>
        <w:t>Required Approvals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Issuance of the Securities; Registration; Use of Form S-3</w:t>
      </w:r>
      <w:r>
        <w:rPr>
          <w:rFonts w:ascii="Times New Roman" w:hAnsi="Times New Roman"/>
          <w:color w:val="000000"/>
          <w:sz w:val="20"/>
        </w:rPr>
        <w:t xml:space="preserve">. The Shares are duly authorized and, when issued and paid for in accordance with the applicable Transaction Documents, will be duly and validly issued, fully paid and non-assessable, free and clear of all Liens imposed by the Company. The Warrants are duly authorized and, when issued and paid for in accordance with the applicable Transaction Documents,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9</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will constitute valid and legally binding obligations of the Company, enforceable against the Company in accordance with their terms. The Warrant Shares are duly authorized and, when issued in accordance with the terms of the Warrants against payment therefor as provided therein, will be validly issued, fully paid and non-assessable, free and clear of all Liens imposed by the Company. The Company has reserved from its duly authorized capital the maximum number of shares of Common Stock issuable pursuant to this Agreement and the Warrants (without taking into account any limitations on the exercise of the Warrants set forth therein).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has prepared and filed the Registration Statement in conformity with the requirements of the Securities Act,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Registration Statement or Prospectus has been issued by the SEC and no proceedings for that purpose have been instituted or, to the knowledge of the Company, are threatened by the SEC. The issuance by the Company of the Securities has been registered under the Securities Act, the Securities are being issued pursuant to the Registration Statement and all of the Securities are freely transferable and freely tradable by each of the Purchasers without restriction. The Company, if required by the rules and regulations of the SEC, shall file the Prospectus and the Prospectus Supplement with the SEC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the Prospectus Supplement, and any amendments or supplements thereto, at time the Prospectus, the Prospectus Supplement, or any amendment or supplement thereto was issued and at the Closing Date, conformed and will conform in all material respects to the requirements of the Securities Act and did not and will not contain any untrue statement of a material fact or omit to state a material fact necessary in order to make the statements therein, in light of the circumstances under which they were made, not misleading. The Company meets all of the requirements for the use of Form S-3 under the Securities Act for the offering and sale of the Securities contemplated by this Agreement and the other Transaction Documents, and the SEC has not notified the Company of any objection to the use of the form of the Registration Statement pursuant to Rule 401(g)(1) under the Securities Act. The Registration Statement meets the requirements set forth in Rule 415(a)(1)(x) under the Securities Act.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Capitalization</w:t>
      </w:r>
      <w:r>
        <w:rPr>
          <w:rFonts w:ascii="Times New Roman" w:hAnsi="Times New Roman"/>
          <w:color w:val="000000"/>
          <w:sz w:val="20"/>
        </w:rPr>
        <w:t xml:space="preserve">. The authorized capital stock of the Company consists of 50,000,000 shares of Common Stock, par value $0.001 per share, and 30,000,000 shares of preferred stock, par value $0.001 per share. As of September 18, 2026, 2,546,666 shares of Common Stock are outstanding. The outstanding preferred stock consists of 500 shares of Series A-1 preferred stock and 850 shares of Series A-2 preferred stock. The Company has outstanding warrants to purchase 136,327 shares of Common Stock at a weighted average exercise price of $7.52 per share and outstanding options to purchase 225,550 shares of Common Stock at a weighted average exercise price of $25.09 per share. The Board of Directors consists of Holger Weis, Robert W. Postma, Jaime Vieser and Michael A. Jerman. The Company’s executive officers include Holger Weis, Chief Executive Officer, and Ferdinand Groenewald, Vice President of Finance. The capitalization of the Company as of the date hereof, including the number of shares of Common Stock owned beneficially and of record by Affiliates of the Company, is set forth on Schedule 3.1(g). Except as set forth on Schedule 3.1(g), the Company has not issued any capital stock or Common Stock Equivalents since its most recently filed periodic report under the Exchange Act, other than pursuant to the exercise of employee stock options or vesting and settlement of restricted stock units under the Company’s stock option or equity incentive plans, the issuance of shares of Common Stock to employees pursuant to any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the outstanding warrants and options described above, and as set forth on Schedule 3.1(g), there are no other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Common Stock Equivalents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10</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Common Stock Equivalents or other securities to any Person (other than the Purchasers and holders of the Pre-Funded Warrants upon exercise). There are no outstanding securities or instruments of the Company or any Subsidiary with any provision that adjusts, and the issuance and sale of the Securities will not result in a right of any holder of Company securities or instruments to adjust, the exercise, conversion, exchange or reset price under any of such securities or instruments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where applicable, and none of such outstanding shares was issued in violation of any preemptive rights or similar rights to subscribe for or purchase securities. Except for the Required Approvals, no further approval or authorization of any shareholder, the Board of Directors or others is required for the issuance and sale of the Securities. There are no shareholders agreements, voting agreements or other similar agreements with respect to the Company’s capital stock to which the Company is a party or, to the knowledge of the Company, between or among any of the Company’s shareholders.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SEC Reports; Financial Statements</w:t>
      </w:r>
      <w:r>
        <w:rPr>
          <w:rFonts w:ascii="Times New Roman" w:hAnsi="Times New Roman"/>
          <w:color w:val="000000"/>
          <w:sz w:val="20"/>
        </w:rPr>
        <w:t>. The Company has filed all reports, schedules, forms, statements and other documents required to be filed by the Company under the Securities Act and the Exchange Act, including, without limitation, its Form 10-K for the year ended December 31, 2025, its Forms 10-Q for the quarters ended March 31, 2026 and June 30, 2026, and its registration statement on Form S-3/A (File No. 333-289748), for the one (1) year preceding the date of this Agreement (or such shorter period as the Company was required by law or regulation to file such material) (the foregoing materials, including the exhibits thereto and documents incorporated by reference therein, together with the Prospectus, being collectively referred to herein as the “</w:t>
      </w:r>
      <w:r>
        <w:rPr>
          <w:rFonts w:ascii="Times New Roman" w:hAnsi="Times New Roman"/>
          <w:color w:val="000000"/>
          <w:sz w:val="20"/>
          <w:u w:val="single"/>
        </w:rPr>
        <w:t>SEC Reports</w:t>
      </w:r>
      <w:r>
        <w:rPr>
          <w:rFonts w:ascii="Times New Roman" w:hAnsi="Times New Roman"/>
          <w:color w:val="000000"/>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SEC with respect thereto as in effect at the time of filing. The Company has an accumulated deficit of approximately $922.6 million and has disclosed going concern risk. Such financial statements have been prepared in accordance with United States generally accepted accounting principles applied on a consistent basis during the periods involved (“</w:t>
      </w:r>
      <w:r>
        <w:rPr>
          <w:rFonts w:ascii="Times New Roman" w:hAnsi="Times New Roman"/>
          <w:color w:val="000000"/>
          <w:sz w:val="20"/>
          <w:u w:val="single"/>
        </w:rPr>
        <w:t>GAAP</w:t>
      </w:r>
      <w:r>
        <w:rPr>
          <w:rFonts w:ascii="Times New Roman" w:hAnsi="Times New Roman"/>
          <w:color w:val="000000"/>
          <w:sz w:val="20"/>
        </w:rPr>
        <w:t xml:space="preserve">”),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selected financial data set forth under the caption “Selected Financial Data” in the SEC Reports fairly present, on the basis stated in such SEC Reports, the information included therein. The agreements and documents described in the Registration Statement and the SEC Reports conform in all material aspects to the descriptions thereof contained therein and there are no agreements or other documents required by the Securities Act and the rules and regulations thereunder to be described in the Registration Statement, the Prospectus or the SEC Reports or to be filed with the SEC as exhibits to the Registration Statement, that have not been so described or filed. Each agreement or other instrument (however characterized or described) to which the Company is a party or by which it is or may be bound or affected and (i) that is referred to in the Registration Statement or the SEC Reports, or (ii) is material to the Company’s business, has been duly authorized and validly executed by the Company, is in full force and effect in all material respects and is enforceable against the Company and, to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11</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therefore may be brought. None of such agreements or instruments has been assigned by the Company, and neither the Company nor, to the best of the Company’s knowledge, any other party is in default thereunder and, to the best of the Company’s knowledge, no event has occurred that, with the lapse of time or the giving of notice, or both, would constitute a default thereunder. To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Material Changes; Undisclosed Events, Liabilities or Developments</w:t>
      </w:r>
      <w:r>
        <w:rPr>
          <w:rFonts w:ascii="Times New Roman" w:hAnsi="Times New Roman"/>
          <w:color w:val="000000"/>
          <w:sz w:val="20"/>
        </w:rPr>
        <w:t>. Since the date of the latest audited financial statements included within the SEC Reports, except as set forth in Schedule 3.1(i),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SEC, (iii) the Company has not altered its method of accounting, (iv) the Company has not declared or made any dividend or distribution of cash or other property to its shareholders or purchased, redeemed or made any agreements to purchase or redeem any shares of its capital stock and (v) the Company has not issued any equity securities to any officer, director or Affiliate, except pursuant to existing Company stock option or equity incentive plans. The Company does not have pending before the SEC any request for confidential treatment of information. Except for the issuance of the Securities contemplated by this Agreement or as set forth in Schedule 3.1(i),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w:t>
      </w:r>
      <w:r>
        <w:rPr>
          <w:rFonts w:ascii="Times New Roman" w:hAnsi="Times New Roman"/>
          <w:color w:val="000000"/>
          <w:sz w:val="20"/>
          <w:u w:val="single"/>
        </w:rPr>
        <w:t>Litigation</w:t>
      </w:r>
      <w:r>
        <w:rPr>
          <w:rFonts w:ascii="Times New Roman" w:hAnsi="Times New Roman"/>
          <w:color w:val="000000"/>
          <w:sz w:val="20"/>
        </w:rPr>
        <w:t>. Except as set forth in the SEC Reports and on Schedule 3.1(j), there is no Proceeding pending or, to the knowledge of the Company, threatened against or affecting the Company, any Subsidiary or any of their respective properties before or by any court, arbitrator, governmental or administrative agency or regulatory authority (federal, state, county, local or foreign)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Proceeding involving a claim of violation of or liability under federal or state securities laws or a claim of breach of fiduciary duty, which could result in a Material Adverse Effect. There has not been, and to the knowledge of the Company, there is not pending or contemplated, any investigation by the SEC involving the Company or any current or former director or officer of the Company. The SEC has not issued any stop order or other order suspending the effectiveness of any registration statement filed by the Company or any Subsidiary under the Exchange Act or the Securities Act.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 </w:t>
      </w:r>
      <w:r>
        <w:rPr>
          <w:rFonts w:ascii="Times New Roman" w:hAnsi="Times New Roman"/>
          <w:color w:val="000000"/>
          <w:sz w:val="20"/>
          <w:u w:val="single"/>
        </w:rPr>
        <w:t>Labor Relations</w:t>
      </w:r>
      <w:r>
        <w:rPr>
          <w:rFonts w:ascii="Times New Roman" w:hAnsi="Times New Roman"/>
          <w:color w:val="000000"/>
          <w:sz w:val="20"/>
        </w:rPr>
        <w:t xml:space="preserve">. (1)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(2) No executive officer of the Company or any Subsidiary, to the knowledge of the Company, is, or is now expected to be, in violation of any material term of any employment contract, confidentiality, disclosure or proprietary information agreement or non-competition agreement, or any other contract or agreement or any restrictive covenant in favor of any third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12</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party, and the continued employment of each such executive officer does not subject the Company or any of its Subsidiaries to any liability with respect to any of the foregoing matters. (3) To the Company’s knowledge, (a) no allegation of sexual harassment, sexual misconduct or discrimination, whether such discrimination arises from race, ethnic background, sex, gender status, age or otherwise (“</w:t>
      </w:r>
      <w:r>
        <w:rPr>
          <w:rFonts w:ascii="Times New Roman" w:hAnsi="Times New Roman"/>
          <w:color w:val="000000"/>
          <w:sz w:val="20"/>
          <w:u w:val="single"/>
        </w:rPr>
        <w:t>Misconduct</w:t>
      </w:r>
      <w:r>
        <w:rPr>
          <w:rFonts w:ascii="Times New Roman" w:hAnsi="Times New Roman"/>
          <w:color w:val="000000"/>
          <w:sz w:val="20"/>
        </w:rPr>
        <w:t>”) have been made involving any current or former director, officer, employee or independent contractor of the Company or any of its Subsidiaries, (b) neither the Company nor any of its Subsidiaries have entered into any settlement agreements related to allegations of Misconduct by any current or former director, officer, employee, or independent contractor of the Company or any of its Subsidiaries. (4)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(l) </w:t>
      </w:r>
      <w:r>
        <w:rPr>
          <w:rFonts w:ascii="Times New Roman" w:hAnsi="Times New Roman"/>
          <w:color w:val="000000"/>
          <w:sz w:val="20"/>
          <w:u w:val="single"/>
        </w:rPr>
        <w:t>Compliance</w:t>
      </w:r>
      <w:r>
        <w:rPr>
          <w:rFonts w:ascii="Times New Roman" w:hAnsi="Times New Roman"/>
          <w:color w:val="000000"/>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the U.S. Food and Drug Administration (“</w:t>
      </w:r>
      <w:r>
        <w:rPr>
          <w:rFonts w:ascii="Times New Roman" w:hAnsi="Times New Roman"/>
          <w:color w:val="000000"/>
          <w:sz w:val="20"/>
          <w:u w:val="single"/>
        </w:rPr>
        <w:t>FDA</w:t>
      </w:r>
      <w:r>
        <w:rPr>
          <w:rFonts w:ascii="Times New Roman" w:hAnsi="Times New Roman"/>
          <w:color w:val="000000"/>
          <w:sz w:val="20"/>
        </w:rPr>
        <w:t>”) and comparable foreign regulators, the U.S. Federal Trade Commission (“</w:t>
      </w:r>
      <w:r>
        <w:rPr>
          <w:rFonts w:ascii="Times New Roman" w:hAnsi="Times New Roman"/>
          <w:color w:val="000000"/>
          <w:sz w:val="20"/>
          <w:u w:val="single"/>
        </w:rPr>
        <w:t>FTC</w:t>
      </w:r>
      <w:r>
        <w:rPr>
          <w:rFonts w:ascii="Times New Roman" w:hAnsi="Times New Roman"/>
          <w:color w:val="000000"/>
          <w:sz w:val="20"/>
        </w:rPr>
        <w:t>”), state unfair trade practice laws and rules and foreign equivalents,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(m) </w:t>
      </w:r>
      <w:r>
        <w:rPr>
          <w:rFonts w:ascii="Times New Roman" w:hAnsi="Times New Roman"/>
          <w:color w:val="000000"/>
          <w:sz w:val="20"/>
          <w:u w:val="single"/>
        </w:rPr>
        <w:t>Regulatory Permits</w:t>
      </w:r>
      <w:r>
        <w:rPr>
          <w:rFonts w:ascii="Times New Roman" w:hAnsi="Times New Roman"/>
          <w:color w:val="000000"/>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hAnsi="Times New Roman"/>
          <w:color w:val="000000"/>
          <w:sz w:val="20"/>
          <w:u w:val="single"/>
        </w:rPr>
        <w:t>Material Permits</w:t>
      </w:r>
      <w:r>
        <w:rPr>
          <w:rFonts w:ascii="Times New Roman" w:hAnsi="Times New Roman"/>
          <w:color w:val="000000"/>
          <w:sz w:val="20"/>
        </w:rPr>
        <w:t>”), and neither the Company nor any Subsidiary has received any notice of Proceedings relating to the revocation or modification of any Material Permit. The disclosures in the Registration Statement concerning the effects of federal, state, local and all foreign regulation on the Company’s business as currently contemplated are correct in all material respects. The Company is and has been in material compliance with any term of any such Material Permits, except for any violations which would not reasonably be expected to have a Material Adverse Effect. The Company has not received notice of any Proceeding from any governmental authority or third party alleging that any product, operation or activity is in violation of any applicable laws or regulations or Material Permits or has any knowledge that any such entity or third party is considering any such Proceeding, nor, to the Company’s knowledge, has there been any material noncompliance with or violation of any applicable laws or regulations by the Company that could reasonably be expected to require the issuance of any such communication or result in an investigation, corrective action, or enforcement action by any governmental authority.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 </w:t>
      </w:r>
      <w:r>
        <w:rPr>
          <w:rFonts w:ascii="Times New Roman" w:hAnsi="Times New Roman"/>
          <w:color w:val="000000"/>
          <w:sz w:val="20"/>
          <w:u w:val="single"/>
        </w:rPr>
        <w:t>Title to Assets</w:t>
      </w:r>
      <w:r>
        <w:rPr>
          <w:rFonts w:ascii="Times New Roman" w:hAnsi="Times New Roman"/>
          <w:color w:val="000000"/>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13</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 </w:t>
      </w:r>
      <w:r>
        <w:rPr>
          <w:rFonts w:ascii="Times New Roman" w:hAnsi="Times New Roman"/>
          <w:color w:val="000000"/>
          <w:sz w:val="20"/>
          <w:u w:val="single"/>
        </w:rPr>
        <w:t>Intellectual Property</w:t>
      </w:r>
      <w:r>
        <w:rPr>
          <w:rFonts w:ascii="Times New Roman" w:hAnsi="Times New Roman"/>
          <w:color w:val="000000"/>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hAnsi="Times New Roman"/>
          <w:color w:val="000000"/>
          <w:sz w:val="20"/>
          <w:u w:val="single"/>
        </w:rPr>
        <w:t>Intellectual Property Rights</w:t>
      </w:r>
      <w:r>
        <w:rPr>
          <w:rFonts w:ascii="Times New Roman" w:hAnsi="Times New Roman"/>
          <w:color w:val="000000"/>
          <w:sz w:val="20"/>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(p) </w:t>
      </w:r>
      <w:r>
        <w:rPr>
          <w:rFonts w:ascii="Times New Roman" w:hAnsi="Times New Roman"/>
          <w:color w:val="000000"/>
          <w:sz w:val="20"/>
          <w:u w:val="single"/>
        </w:rPr>
        <w:t>Insurance</w:t>
      </w:r>
      <w:r>
        <w:rPr>
          <w:rFonts w:ascii="Times New Roman" w:hAnsi="Times New Roman"/>
          <w:color w:val="000000"/>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(q) </w:t>
      </w:r>
      <w:r>
        <w:rPr>
          <w:rFonts w:ascii="Times New Roman" w:hAnsi="Times New Roman"/>
          <w:color w:val="000000"/>
          <w:sz w:val="20"/>
          <w:u w:val="single"/>
        </w:rPr>
        <w:t>Transactions With Affiliates and Employees</w:t>
      </w:r>
      <w:r>
        <w:rPr>
          <w:rFonts w:ascii="Times New Roman" w:hAnsi="Times New Roman"/>
          <w:color w:val="000000"/>
          <w:sz w:val="20"/>
        </w:rPr>
        <w:t>. Except as set forth in Schedule 3.1(q), none of the executive officers or directors of the Company or any Subsidiary and, to the knowledge of the Company, none of the employees of the Company or any Subsidiary is presently a party to any transaction with the Company or any Subsidiary (other than for services as employees, executive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executive officer, director or such employee or, to the knowledge of the Company, any entity in which any executive officer, director, or any such employee has a substantial interest or is an officer, director, trustee, shareholder, member or partner, in , in each case in excess of 1% of the Company’s average total assets as of December 31, 2025 and 2024 other than for: (i) payment of salary or consulting fees for services rendered, (ii) reimbursement for expenses incurred on behalf of the Company and (iii) other employee benefits, including equity award or option agreements under any equity incentive plan of the Company.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(r) </w:t>
      </w:r>
      <w:r>
        <w:rPr>
          <w:rFonts w:ascii="Times New Roman" w:hAnsi="Times New Roman"/>
          <w:color w:val="000000"/>
          <w:sz w:val="20"/>
          <w:u w:val="single"/>
        </w:rPr>
        <w:t>Sarbanes-Oxley; Internal Accounting Controls</w:t>
      </w:r>
      <w:r>
        <w:rPr>
          <w:rFonts w:ascii="Times New Roman" w:hAnsi="Times New Roman"/>
          <w:color w:val="000000"/>
          <w:sz w:val="20"/>
        </w:rPr>
        <w:t xml:space="preserve">. The Company and the Subsidiaries are in material compliance with applicable requirements of the Sarbanes-Oxley Act of 2002 and the rules and regulations promulgated by the SEC thereunder that are effective as of the date of this Agreement and applicable to the Company and the Subsidiaries. The Company and the Subsidiaries maintain a system of internal accounting controls designed to provide reasonable assurance that, except as disclosed in the SEC Reports: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designed to ensure that information required to be disclosed by the Company in reports filed or submitted under the Exchange Act is recorded, processed, summarized and reported within the periods specified in the SEC’s rules and forms. The Company’s certifying officers have evaluated the effectiveness of the Company’s disclosure controls and procedures as of the end of the period covered by the Company’s most recently filed periodic report under the Exchange Act (such date, the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14</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Evaluation Date</w:t>
      </w:r>
      <w:r>
        <w:rPr>
          <w:rFonts w:ascii="Times New Roman" w:hAnsi="Times New Roman"/>
          <w:color w:val="000000"/>
          <w:sz w:val="20"/>
        </w:rPr>
        <w:t xml:space="preserve">”), and the Company presented the conclusions of the certifying officers based on those evaluations. The Company has identified a material weakness in its internal control over financial reporting, as disclosed in the SEC Reports.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 </w:t>
      </w:r>
      <w:r>
        <w:rPr>
          <w:rFonts w:ascii="Times New Roman" w:hAnsi="Times New Roman"/>
          <w:color w:val="000000"/>
          <w:sz w:val="20"/>
          <w:u w:val="single"/>
        </w:rPr>
        <w:t>Certain Fees</w:t>
      </w:r>
      <w:r>
        <w:rPr>
          <w:rFonts w:ascii="Times New Roman" w:hAnsi="Times New Roman"/>
          <w:color w:val="000000"/>
          <w:sz w:val="20"/>
        </w:rPr>
        <w:t>. Except as set forth in the Prospectus and the Placement Agency Agreement,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Company shall pay Dawson James Securities, Inc. a placement agent fee equal to 8% of the gross proceeds of the Offering, together with any other fees and expenses expressly set forth in the Placement Agency Agreement. Other than for Persons directly engaged by a Purchaser, if any,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 </w:t>
      </w:r>
      <w:r>
        <w:rPr>
          <w:rFonts w:ascii="Times New Roman" w:hAnsi="Times New Roman"/>
          <w:color w:val="000000"/>
          <w:sz w:val="20"/>
          <w:u w:val="single"/>
        </w:rPr>
        <w:t>Investment Company</w:t>
      </w:r>
      <w:r>
        <w:rPr>
          <w:rFonts w:ascii="Times New Roman" w:hAnsi="Times New Roman"/>
          <w:color w:val="000000"/>
          <w:sz w:val="20"/>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(u) </w:t>
      </w:r>
      <w:r>
        <w:rPr>
          <w:rFonts w:ascii="Times New Roman" w:hAnsi="Times New Roman"/>
          <w:color w:val="000000"/>
          <w:sz w:val="20"/>
          <w:u w:val="single"/>
        </w:rPr>
        <w:t>Registration Rights</w:t>
      </w:r>
      <w:r>
        <w:rPr>
          <w:rFonts w:ascii="Times New Roman" w:hAnsi="Times New Roman"/>
          <w:color w:val="000000"/>
          <w:sz w:val="20"/>
        </w:rPr>
        <w:t>. Other than the selling stockholders listed in the resale prospectus of the Registration Statement, no Person has any right to cause the Company or any Subsidiary to effect the registration under the Securities Act of any securities of the Company or any Subsidiary.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 </w:t>
      </w:r>
      <w:r>
        <w:rPr>
          <w:rFonts w:ascii="Times New Roman" w:hAnsi="Times New Roman"/>
          <w:color w:val="000000"/>
          <w:sz w:val="20"/>
          <w:u w:val="single"/>
        </w:rPr>
        <w:t>Listing and Maintenance Requirements</w:t>
      </w:r>
      <w:r>
        <w:rPr>
          <w:rFonts w:ascii="Times New Roman" w:hAnsi="Times New Roman"/>
          <w:color w:val="000000"/>
          <w:sz w:val="20"/>
        </w:rPr>
        <w:t>. The shares of Common Stock are registered pursuant to Section 12(b) of the Exchange Act and are listed on the Nasdaq Capital Market under the ticker symbol TCRT. The Company has taken no action designed to, or which to its knowledge is likely to have the effect of, terminating the registration of the shares of Common Stock under the Exchange Act nor has the Company received any notification that the SEC is contemplating terminating such registration. Except as disclosed in the SEC Reports, the Company has not, in the twelve (12) months preceding the date of this Agreement, received notice from any Trading Market on which the shares of Common Stock are or have been listed or quoted to the effect that the Company is not in compliance with the listing or maintenance requirements of such Trading Market.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(w) </w:t>
      </w:r>
      <w:r>
        <w:rPr>
          <w:rFonts w:ascii="Times New Roman" w:hAnsi="Times New Roman"/>
          <w:color w:val="000000"/>
          <w:sz w:val="20"/>
          <w:u w:val="single"/>
        </w:rPr>
        <w:t>Application of Takeover Protections</w:t>
      </w:r>
      <w:r>
        <w:rPr>
          <w:rFonts w:ascii="Times New Roman" w:hAnsi="Times New Roman"/>
          <w:color w:val="000000"/>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jurisdiction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(x) </w:t>
      </w:r>
      <w:r>
        <w:rPr>
          <w:rFonts w:ascii="Times New Roman" w:hAnsi="Times New Roman"/>
          <w:color w:val="000000"/>
          <w:sz w:val="20"/>
          <w:u w:val="single"/>
        </w:rPr>
        <w:t>Disclosure</w:t>
      </w:r>
      <w:r>
        <w:rPr>
          <w:rFonts w:ascii="Times New Roman" w:hAnsi="Times New Roman"/>
          <w:color w:val="000000"/>
          <w:sz w:val="20"/>
        </w:rPr>
        <w:t xml:space="preserve">.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and does not contain any untrue statement of a material fact or omit to state any material fact necessary in order to make the statements made therein, in light of the circumstances under which they were made, not misleading. The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15</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press releases disseminated by the Company during the 12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(y) </w:t>
      </w:r>
      <w:r>
        <w:rPr>
          <w:rFonts w:ascii="Times New Roman" w:hAnsi="Times New Roman"/>
          <w:color w:val="000000"/>
          <w:sz w:val="20"/>
          <w:u w:val="single"/>
        </w:rPr>
        <w:t>No Integrated Offering</w:t>
      </w:r>
      <w:r>
        <w:rPr>
          <w:rFonts w:ascii="Times New Roman" w:hAnsi="Times New Roman"/>
          <w:color w:val="000000"/>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(z) </w:t>
      </w:r>
      <w:r>
        <w:rPr>
          <w:rFonts w:ascii="Times New Roman" w:hAnsi="Times New Roman"/>
          <w:color w:val="000000"/>
          <w:sz w:val="20"/>
          <w:u w:val="single"/>
        </w:rPr>
        <w:t>Reserved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(aa) </w:t>
      </w:r>
      <w:r>
        <w:rPr>
          <w:rFonts w:ascii="Times New Roman" w:hAnsi="Times New Roman"/>
          <w:color w:val="000000"/>
          <w:sz w:val="20"/>
          <w:u w:val="single"/>
        </w:rPr>
        <w:t>Tax Status</w:t>
      </w:r>
      <w:r>
        <w:rPr>
          <w:rFonts w:ascii="Times New Roman" w:hAnsi="Times New Roman"/>
          <w:color w:val="000000"/>
          <w:sz w:val="20"/>
        </w:rPr>
        <w:t>. Except for matters that would not, individually or in the aggregate, have or reasonably be expected to result in a Material Adverse Effect, or as set forth in Schedule 3.1(aa), the Company and its Subsidiaries each (i) has made or filed all United States federal, state and local income and franchise taxes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(bb) </w:t>
      </w:r>
      <w:r>
        <w:rPr>
          <w:rFonts w:ascii="Times New Roman" w:hAnsi="Times New Roman"/>
          <w:color w:val="000000"/>
          <w:sz w:val="20"/>
          <w:u w:val="single"/>
        </w:rPr>
        <w:t>Foreign Corrupt Practices</w:t>
      </w:r>
      <w:r>
        <w:rPr>
          <w:rFonts w:ascii="Times New Roman" w:hAnsi="Times New Roman"/>
          <w:color w:val="000000"/>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 The Company has taken reasonable steps to ensure that its accounting controls and procedures are sufficient to cause the Company to comply in all material respects with the FCPA.</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(cc) </w:t>
      </w:r>
      <w:r>
        <w:rPr>
          <w:rFonts w:ascii="Times New Roman" w:hAnsi="Times New Roman"/>
          <w:color w:val="000000"/>
          <w:sz w:val="20"/>
          <w:u w:val="single"/>
        </w:rPr>
        <w:t>Accountants</w:t>
      </w:r>
      <w:r>
        <w:rPr>
          <w:rFonts w:ascii="Times New Roman" w:hAnsi="Times New Roman"/>
          <w:color w:val="000000"/>
          <w:sz w:val="20"/>
        </w:rPr>
        <w:t>. The Company’s independent registered public accounting firm is Cherry Bekaert LLP. To the knowledge of the Company, such accounting firm (i) is a registered public accounting firm as required by the Exchange Act and (ii) has expressed or will express its opinion with respect to the financial statements included in the Company’s Annual Report for the fiscal year ended December 31, 2025.</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(dd) </w:t>
      </w:r>
      <w:r>
        <w:rPr>
          <w:rFonts w:ascii="Times New Roman" w:hAnsi="Times New Roman"/>
          <w:color w:val="000000"/>
          <w:sz w:val="20"/>
          <w:u w:val="single"/>
        </w:rPr>
        <w:t>Acknowledgment Regarding Purchasers’ Purchase of Securities</w:t>
      </w:r>
      <w:r>
        <w:rPr>
          <w:rFonts w:ascii="Times New Roman" w:hAnsi="Times New Roman"/>
          <w:color w:val="000000"/>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(ee) </w:t>
      </w:r>
      <w:r>
        <w:rPr>
          <w:rFonts w:ascii="Times New Roman" w:hAnsi="Times New Roman"/>
          <w:color w:val="000000"/>
          <w:sz w:val="20"/>
          <w:u w:val="single"/>
        </w:rPr>
        <w:t>Acknowledgement Regarding Purchaser’s Trading Activity</w:t>
      </w:r>
      <w:r>
        <w:rPr>
          <w:rFonts w:ascii="Times New Roman" w:hAnsi="Times New Roman"/>
          <w:color w:val="000000"/>
          <w:sz w:val="20"/>
        </w:rPr>
        <w:t xml:space="preserve">. Anything in this Agreement or elsewhere herein to the contrary notwithstanding (except for Sections 3.2(f) and 4.13 hereof), it is understood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16</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shares of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(ff) </w:t>
      </w:r>
      <w:r>
        <w:rPr>
          <w:rFonts w:ascii="Times New Roman" w:hAnsi="Times New Roman"/>
          <w:color w:val="000000"/>
          <w:sz w:val="20"/>
          <w:u w:val="single"/>
        </w:rPr>
        <w:t>Regulation M Compliance</w:t>
      </w:r>
      <w:r>
        <w:rPr>
          <w:rFonts w:ascii="Times New Roman" w:hAnsi="Times New Roman"/>
          <w:color w:val="000000"/>
          <w:sz w:val="20"/>
        </w:rPr>
        <w:t>. The Company has not, and to its knowledge no one acting on its behalf (other than the Placement Agent, as to which no representation is made)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(gg) </w:t>
      </w:r>
      <w:r>
        <w:rPr>
          <w:rFonts w:ascii="Times New Roman" w:hAnsi="Times New Roman"/>
          <w:color w:val="000000"/>
          <w:sz w:val="20"/>
          <w:u w:val="single"/>
        </w:rPr>
        <w:t>Office of Foreign Assets Control</w:t>
      </w:r>
      <w:r>
        <w:rPr>
          <w:rFonts w:ascii="Times New Roman" w:hAnsi="Times New Roman"/>
          <w:color w:val="000000"/>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hAnsi="Times New Roman"/>
          <w:color w:val="000000"/>
          <w:sz w:val="20"/>
          <w:u w:val="single"/>
        </w:rPr>
        <w:t>OFAC</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(hh) </w:t>
      </w:r>
      <w:r>
        <w:rPr>
          <w:rFonts w:ascii="Times New Roman" w:hAnsi="Times New Roman"/>
          <w:color w:val="000000"/>
          <w:sz w:val="20"/>
          <w:u w:val="single"/>
        </w:rPr>
        <w:t>U.S. Real Property Holding Corporation</w:t>
      </w:r>
      <w:r>
        <w:rPr>
          <w:rFonts w:ascii="Times New Roman" w:hAnsi="Times New Roman"/>
          <w:color w:val="000000"/>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Bank Holding Company Act</w:t>
      </w:r>
      <w:r>
        <w:rPr>
          <w:rFonts w:ascii="Times New Roman" w:hAnsi="Times New Roman"/>
          <w:color w:val="000000"/>
          <w:sz w:val="20"/>
        </w:rPr>
        <w:t>. Neither the Company nor any of its Subsidiaries or Affiliates is subject to the Bank Holding Company Act of 1956, as amended (the “</w:t>
      </w:r>
      <w:r>
        <w:rPr>
          <w:rFonts w:ascii="Times New Roman" w:hAnsi="Times New Roman"/>
          <w:color w:val="000000"/>
          <w:sz w:val="20"/>
          <w:u w:val="single"/>
        </w:rPr>
        <w:t>BHCA</w:t>
      </w:r>
      <w:r>
        <w:rPr>
          <w:rFonts w:ascii="Times New Roman" w:hAnsi="Times New Roman"/>
          <w:color w:val="000000"/>
          <w:sz w:val="20"/>
        </w:rPr>
        <w:t>”) and to regulation by the Board of Governors of the Federal Reserve System (the “</w:t>
      </w:r>
      <w:r>
        <w:rPr>
          <w:rFonts w:ascii="Times New Roman" w:hAnsi="Times New Roman"/>
          <w:color w:val="000000"/>
          <w:sz w:val="20"/>
          <w:u w:val="single"/>
        </w:rPr>
        <w:t>Federal Reserve</w:t>
      </w:r>
      <w:r>
        <w:rPr>
          <w:rFonts w:ascii="Times New Roman" w:hAnsi="Times New Roman"/>
          <w:color w:val="000000"/>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(jj) </w:t>
      </w:r>
      <w:r>
        <w:rPr>
          <w:rFonts w:ascii="Times New Roman" w:hAnsi="Times New Roman"/>
          <w:color w:val="000000"/>
          <w:sz w:val="20"/>
          <w:u w:val="single"/>
        </w:rPr>
        <w:t>Money Laundering</w:t>
      </w:r>
      <w:r>
        <w:rPr>
          <w:rFonts w:ascii="Times New Roman" w:hAnsi="Times New Roman"/>
          <w:color w:val="000000"/>
          <w:sz w:val="20"/>
        </w:rPr>
        <w:t>. The operations of the Company and its Subsidiaries are and have been conducted at all times in compliance with applicable financial record-keeping and reporting requirements of the Currency and Foreign Transactions Reporting Act of 1970, as amended, applicable United States federal and state and foreign money laundering statutes and applicable rules and regulations thereunder (collectively, the “</w:t>
      </w:r>
      <w:r>
        <w:rPr>
          <w:rFonts w:ascii="Times New Roman" w:hAnsi="Times New Roman"/>
          <w:color w:val="000000"/>
          <w:sz w:val="20"/>
          <w:u w:val="single"/>
        </w:rPr>
        <w:t>Money Laundering Laws</w:t>
      </w:r>
      <w:r>
        <w:rPr>
          <w:rFonts w:ascii="Times New Roman" w:hAnsi="Times New Roman"/>
          <w:color w:val="000000"/>
          <w:sz w:val="20"/>
        </w:rPr>
        <w:t>”), and no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(kk) </w:t>
      </w:r>
      <w:r>
        <w:rPr>
          <w:rFonts w:ascii="Times New Roman" w:hAnsi="Times New Roman"/>
          <w:color w:val="000000"/>
          <w:sz w:val="20"/>
          <w:u w:val="single"/>
        </w:rPr>
        <w:t>Environmental Laws</w:t>
      </w:r>
      <w:r>
        <w:rPr>
          <w:rFonts w:ascii="Times New Roman" w:hAnsi="Times New Roman"/>
          <w:color w:val="000000"/>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hAnsi="Times New Roman"/>
          <w:color w:val="000000"/>
          <w:sz w:val="20"/>
          <w:u w:val="single"/>
        </w:rPr>
        <w:t>Hazardous Materials</w:t>
      </w:r>
      <w:r>
        <w:rPr>
          <w:rFonts w:ascii="Times New Roman" w:hAnsi="Times New Roman"/>
          <w:color w:val="000000"/>
          <w:sz w:val="20"/>
        </w:rPr>
        <w:t xml:space="preserve">”) into the environment, or otherwise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17</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hAnsi="Times New Roman"/>
          <w:color w:val="000000"/>
          <w:sz w:val="20"/>
          <w:u w:val="single"/>
        </w:rPr>
        <w:t>Environmental Laws</w:t>
      </w:r>
      <w:r>
        <w:rPr>
          <w:rFonts w:ascii="Times New Roman" w:hAnsi="Times New Roman"/>
          <w:color w:val="000000"/>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(ll) </w:t>
      </w:r>
      <w:r>
        <w:rPr>
          <w:rFonts w:ascii="Times New Roman" w:hAnsi="Times New Roman"/>
          <w:color w:val="000000"/>
          <w:sz w:val="20"/>
          <w:u w:val="single"/>
        </w:rPr>
        <w:t>Food and Drug Regulations</w:t>
      </w:r>
      <w:r>
        <w:rPr>
          <w:rFonts w:ascii="Times New Roman" w:hAnsi="Times New Roman"/>
          <w:color w:val="000000"/>
          <w:sz w:val="20"/>
        </w:rPr>
        <w:t>. As to each product subject to the jurisdiction of the FDA under the Federal Food, Drug and Cosmetic Act, and the regulations thereunder (the “</w:t>
      </w:r>
      <w:r>
        <w:rPr>
          <w:rFonts w:ascii="Times New Roman" w:hAnsi="Times New Roman"/>
          <w:color w:val="000000"/>
          <w:sz w:val="20"/>
          <w:u w:val="single"/>
        </w:rPr>
        <w:t>FDCA</w:t>
      </w:r>
      <w:r>
        <w:rPr>
          <w:rFonts w:ascii="Times New Roman" w:hAnsi="Times New Roman"/>
          <w:color w:val="000000"/>
          <w:sz w:val="20"/>
        </w:rPr>
        <w:t>”) and similar or comparable governmental authorities located in other countries and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including, without limitation in foreign jurisdictions including Health Canada (collectively, “</w:t>
      </w:r>
      <w:r>
        <w:rPr>
          <w:rFonts w:ascii="Times New Roman" w:hAnsi="Times New Roman"/>
          <w:color w:val="000000"/>
          <w:sz w:val="20"/>
          <w:u w:val="single"/>
        </w:rPr>
        <w:t>Food and Drug Regulations</w:t>
      </w:r>
      <w:r>
        <w:rPr>
          <w:rFonts w:ascii="Times New Roman" w:hAnsi="Times New Roman"/>
          <w:color w:val="000000"/>
          <w:sz w:val="20"/>
        </w:rPr>
        <w:t>”), that is manufactured, packaged, labeled, tested, distributed, sold, and/or marketed by the Company or any of its Subsidiaries (each such product, a “</w:t>
      </w:r>
      <w:r>
        <w:rPr>
          <w:rFonts w:ascii="Times New Roman" w:hAnsi="Times New Roman"/>
          <w:color w:val="000000"/>
          <w:sz w:val="20"/>
          <w:u w:val="single"/>
        </w:rPr>
        <w:t>Product</w:t>
      </w:r>
      <w:r>
        <w:rPr>
          <w:rFonts w:ascii="Times New Roman" w:hAnsi="Times New Roman"/>
          <w:color w:val="000000"/>
          <w:sz w:val="20"/>
        </w:rPr>
        <w:t>”), such Product is being manufactured, packaged, labeled, tested, distributed, sold and/or marketed by the Company in compliance with all applicable requirements under applicable Food and Drug Regulations, except where the failure to be in compliance would not have or would reasonably be expected to have a Material Adverse Effect or as is disclosed in the Prospectus or the Prospectus Supplement. Except as disclosed in the Prospectus or the Prospectus Supplement, there is no pending, completed or, to the Company’s knowledge, threatened, Proceeding against the Company or any of its Subsidiaries, and none of the Company or any of its Subsidiaries has received any notice, warning letter or other communication arising from or relating to Food and Drug Regulations, which (i) contests the premarket clearance, licensure, registration, or approval of, the uses of, the distribution of, the manufacturing or packaging of, the testing of, the sale of, or the labeling and promotion of any Product, (ii) withdraws its approval of, requests the recall, suspension, or seizure of, or withdraws or orders the withdrawal of advertising or sales promotional materials relating to, any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(including Food and Drug Regulations), and which, either individually or in the aggregate, would have or would reasonably be expected to have a Material Adverse Effect. The properties, business and operations of the Company have been and are being conducted in all material respects in accordance with all applicable Food and Drug Regulations. The Company has not been informed by the FDA or any other governmental authority that such governmental authority will prohibit the marketing, sale, license or use in the United States or in another jurisdiction of any product proposed to be developed, produced or marketed by the Company.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(mm) </w:t>
      </w:r>
      <w:r>
        <w:rPr>
          <w:rFonts w:ascii="Times New Roman" w:hAnsi="Times New Roman"/>
          <w:color w:val="000000"/>
          <w:sz w:val="20"/>
          <w:u w:val="single"/>
        </w:rPr>
        <w:t>Stock Option Plans</w:t>
      </w:r>
      <w:r>
        <w:rPr>
          <w:rFonts w:ascii="Times New Roman" w:hAnsi="Times New Roman"/>
          <w:color w:val="000000"/>
          <w:sz w:val="20"/>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or awards prior to, or otherwise knowingly coordinate the grant of stock options or awards with, the release or other public announcement of material information regarding the Company or its Subsidiaries or their financial results or prospects.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(nn) </w:t>
      </w:r>
      <w:r>
        <w:rPr>
          <w:rFonts w:ascii="Times New Roman" w:hAnsi="Times New Roman"/>
          <w:color w:val="000000"/>
          <w:sz w:val="20"/>
          <w:u w:val="single"/>
        </w:rPr>
        <w:t>Cybersecurity</w:t>
      </w:r>
      <w:r>
        <w:rPr>
          <w:rFonts w:ascii="Times New Roman" w:hAnsi="Times New Roman"/>
          <w:color w:val="000000"/>
          <w:sz w:val="20"/>
        </w:rPr>
        <w:t>.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hAnsi="Times New Roman"/>
          <w:color w:val="000000"/>
          <w:sz w:val="20"/>
          <w:u w:val="single"/>
        </w:rPr>
        <w:t>IT Systems and Data</w:t>
      </w:r>
      <w:r>
        <w:rPr>
          <w:rFonts w:ascii="Times New Roman" w:hAnsi="Times New Roman"/>
          <w:color w:val="000000"/>
          <w:sz w:val="20"/>
        </w:rPr>
        <w:t xml:space="preserve">”) that would reasonably be expected to result in, individually or in the aggregate, a Material Adverse Effect and (i) the Company and the Subsidiaries have not been notified of, and has no knowledge of any event or condition that would reasonably be expected to result in, any material security breach or other compromise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18</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(oo) </w:t>
      </w:r>
      <w:r>
        <w:rPr>
          <w:rFonts w:ascii="Times New Roman" w:hAnsi="Times New Roman"/>
          <w:color w:val="000000"/>
          <w:sz w:val="20"/>
          <w:u w:val="single"/>
        </w:rPr>
        <w:t>Compliance with Data Privacy Laws</w:t>
      </w:r>
      <w:r>
        <w:rPr>
          <w:rFonts w:ascii="Times New Roman" w:hAnsi="Times New Roman"/>
          <w:color w:val="000000"/>
          <w:sz w:val="20"/>
        </w:rPr>
        <w:t>. (i) The Company and the Subsidiaries are, and at all times during the last three (3) years were, in material compliance with all applicable state, federal and foreign data privacy and security laws and regulations, including, without limitation, the European Union General Data Protection Regulation (“</w:t>
      </w:r>
      <w:r>
        <w:rPr>
          <w:rFonts w:ascii="Times New Roman" w:hAnsi="Times New Roman"/>
          <w:color w:val="000000"/>
          <w:sz w:val="20"/>
          <w:u w:val="single"/>
        </w:rPr>
        <w:t>GDPR</w:t>
      </w:r>
      <w:r>
        <w:rPr>
          <w:rFonts w:ascii="Times New Roman" w:hAnsi="Times New Roman"/>
          <w:color w:val="000000"/>
          <w:sz w:val="20"/>
        </w:rPr>
        <w:t>”) (EU 2016/679) (collectively, “</w:t>
      </w:r>
      <w:r>
        <w:rPr>
          <w:rFonts w:ascii="Times New Roman" w:hAnsi="Times New Roman"/>
          <w:color w:val="000000"/>
          <w:sz w:val="20"/>
          <w:u w:val="single"/>
        </w:rPr>
        <w:t>Privacy Laws</w:t>
      </w:r>
      <w:r>
        <w:rPr>
          <w:rFonts w:ascii="Times New Roman" w:hAnsi="Times New Roman"/>
          <w:color w:val="000000"/>
          <w:sz w:val="20"/>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hAnsi="Times New Roman"/>
          <w:color w:val="000000"/>
          <w:sz w:val="20"/>
          <w:u w:val="single"/>
        </w:rPr>
        <w:t>Policies</w:t>
      </w:r>
      <w:r>
        <w:rPr>
          <w:rFonts w:ascii="Times New Roman" w:hAnsi="Times New Roman"/>
          <w:color w:val="000000"/>
          <w:sz w:val="20"/>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hAnsi="Times New Roman"/>
          <w:color w:val="000000"/>
          <w:sz w:val="20"/>
          <w:u w:val="single"/>
        </w:rPr>
        <w:t>Personal Data</w:t>
      </w:r>
      <w:r>
        <w:rPr>
          <w:rFonts w:ascii="Times New Roman" w:hAnsi="Times New Roman"/>
          <w:color w:val="000000"/>
          <w:sz w:val="20"/>
        </w:rPr>
        <w:t>” means (i) a natural person’s name, street address, telephone number, email address, photograph, social security number, bank information, or customer or account number; (ii) any information which would qualify as “personally identifying information” under the FTC,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3.2 </w:t>
      </w:r>
      <w:r>
        <w:rPr>
          <w:rFonts w:ascii="Times New Roman" w:hAnsi="Times New Roman"/>
          <w:color w:val="000000"/>
          <w:sz w:val="20"/>
          <w:u w:val="single"/>
        </w:rPr>
        <w:t>Representations and Warranties of the Purchasers</w:t>
      </w:r>
      <w:r>
        <w:rPr>
          <w:rFonts w:ascii="Times New Roman" w:hAnsi="Times New Roman"/>
          <w:color w:val="000000"/>
          <w:sz w:val="20"/>
        </w:rPr>
        <w:t>. Each Purchaser, for itself and for no other Purchaser, hereby represents and warrants as of the date of this Agreement and as of the Closing Date to the Company as follows (unless as of a specific date therein, in which case they shall be accurate as of such date):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Organization; Authority</w:t>
      </w:r>
      <w:r>
        <w:rPr>
          <w:rFonts w:ascii="Times New Roman" w:hAnsi="Times New Roman"/>
          <w:color w:val="000000"/>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19</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Understandings or Arrangements</w:t>
      </w:r>
      <w:r>
        <w:rPr>
          <w:rFonts w:ascii="Times New Roman" w:hAnsi="Times New Roman"/>
          <w:color w:val="000000"/>
          <w:sz w:val="20"/>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pStyle w:val="TextBody"/>
        <w:bidi w:val="0"/>
        <w:spacing w:before="0" w:after="240"/>
        <w:jc w:val="both"/>
        <w:rPr>
          <w:rFonts w:ascii="Times New Roman" w:hAnsi="Times New Roman"/>
          <w:sz w:val="20"/>
        </w:rPr>
      </w:pPr>
      <w:r>
        <w:rPr>
          <w:rFonts w:ascii="Times New Roman" w:hAnsi="Times New Roman"/>
          <w:color w:val="000000"/>
          <w:sz w:val="20"/>
        </w:rPr>
        <w:t>(c)  </w:t>
      </w:r>
      <w:r>
        <w:rPr>
          <w:rFonts w:ascii="Times New Roman" w:hAnsi="Times New Roman"/>
          <w:color w:val="000000"/>
          <w:sz w:val="20"/>
          <w:u w:val="single"/>
        </w:rPr>
        <w:t>Purchaser Status</w:t>
      </w:r>
      <w:r>
        <w:rPr>
          <w:rFonts w:ascii="Times New Roman" w:hAnsi="Times New Roman"/>
          <w:color w:val="000000"/>
          <w:sz w:val="20"/>
        </w:rPr>
        <w:t>. At the time such Purchaser was offered the Securities, it was, and as of the date hereof it is, and on each date on which it exercises any Warrants, it will be either: (i) an “accredited investor” as defined in Rule 501(a)(1), (a)(2), (a)(3), (a)(7) or (a)(8), (a)(9), or (a)(13) under the Securities Act or (ii) a “qualified institutional buyer” as defined in Rule 144A(a) under the Securities Act.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Experience of Such Purchaser</w:t>
      </w:r>
      <w:r>
        <w:rPr>
          <w:rFonts w:ascii="Times New Roman" w:hAnsi="Times New Roman"/>
          <w:color w:val="000000"/>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Access to Information</w:t>
      </w:r>
      <w:r>
        <w:rPr>
          <w:rFonts w:ascii="Times New Roman" w:hAnsi="Times New Roman"/>
          <w:color w:val="000000"/>
          <w:sz w:val="20"/>
        </w:rPr>
        <w:t>. Such Purchaser acknowledges that it has had the opportunity to review the Transaction Documents (including all exhibits and schedules thereto), and the SEC Reports including the Prospectus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Certain Transactions and Confidentiality</w:t>
      </w:r>
      <w:r>
        <w:rPr>
          <w:rFonts w:ascii="Times New Roman" w:hAnsi="Times New Roman"/>
          <w:color w:val="000000"/>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Ownership of Company Securities</w:t>
      </w:r>
      <w:r>
        <w:rPr>
          <w:rFonts w:ascii="Times New Roman" w:hAnsi="Times New Roman"/>
          <w:color w:val="000000"/>
          <w:sz w:val="20"/>
        </w:rPr>
        <w:t xml:space="preserve">. Except as disclosed in writing to the Company as of the date of this Agreement, no Purchaser, any of its Affiliates, or any other Persons whose beneficial ownership of shares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20</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 Common Stock would be aggregated with the Purchaser’s for purposes of Section 13(d) of the Exchange Act and the rules and regulations promulgated thereunder, including any “group” of which the Purchaser is a member, directly or indirectly owns, beneficially or otherwise (including solely with respect to an economic interest), any of the outstanding shares of Common Stock, or any other shares of capital stock, options, warrants, derivative securities, rights or any other securities (including any securities convertible into, exchangeable for or that represent the right to receive securities) of the Company.</w:t>
      </w:r>
    </w:p>
    <w:p>
      <w:pPr>
        <w:pStyle w:val="TextBody"/>
        <w:bidi w:val="0"/>
        <w:spacing w:before="0" w:after="240"/>
        <w:jc w:val="both"/>
        <w:rPr>
          <w:rFonts w:ascii="Times New Roman" w:hAnsi="Times New Roman"/>
          <w:sz w:val="20"/>
        </w:rPr>
      </w:pPr>
      <w:r>
        <w:rPr>
          <w:rFonts w:ascii="Times New Roman" w:hAnsi="Times New Roman"/>
          <w:color w:val="000000"/>
          <w:sz w:val="20"/>
        </w:rPr>
        <w:t>(h) [</w:t>
      </w:r>
      <w:r>
        <w:rPr>
          <w:rFonts w:ascii="Times New Roman" w:hAnsi="Times New Roman"/>
          <w:color w:val="000000"/>
          <w:sz w:val="20"/>
          <w:u w:val="single"/>
        </w:rPr>
        <w:t>Reserved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Sanctioned Persons; BSA/PATRIOT Act</w:t>
      </w:r>
      <w:r>
        <w:rPr>
          <w:rFonts w:ascii="Times New Roman" w:hAnsi="Times New Roman"/>
          <w:color w:val="000000"/>
          <w:sz w:val="20"/>
        </w:rPr>
        <w:t>. Purchaser is not owned or controlled by or acting on behalf of (in connection with this Agreement), a Sanctioned Person. Purchaser is not an institution that accepts currency for deposit and that (i) has no physical presence in the jurisdiction in which it is incorporated or in which it is operating and (ii) is unaffiliated with a regulated financial group that is subject to consolidated supervision (a “</w:t>
      </w:r>
      <w:r>
        <w:rPr>
          <w:rFonts w:ascii="Times New Roman" w:hAnsi="Times New Roman"/>
          <w:color w:val="000000"/>
          <w:sz w:val="20"/>
          <w:u w:val="single"/>
        </w:rPr>
        <w:t>Shell Bank</w:t>
      </w:r>
      <w:r>
        <w:rPr>
          <w:rFonts w:ascii="Times New Roman" w:hAnsi="Times New Roman"/>
          <w:color w:val="000000"/>
          <w:sz w:val="20"/>
        </w:rPr>
        <w:t>”) or providing banking services to a Shell Bank. Purchaser represents that if it is a financial institution subject to the Bank Secrecy Act (31 U.S.C. Section 5311 et seq.), as amended by the USA PATRIOT Act of 2001 and its implementing regulations (collectively, the “</w:t>
      </w:r>
      <w:r>
        <w:rPr>
          <w:rFonts w:ascii="Times New Roman" w:hAnsi="Times New Roman"/>
          <w:color w:val="000000"/>
          <w:sz w:val="20"/>
          <w:u w:val="single"/>
        </w:rPr>
        <w:t>BSA/PATRIOT Act</w:t>
      </w:r>
      <w:r>
        <w:rPr>
          <w:rFonts w:ascii="Times New Roman" w:hAnsi="Times New Roman"/>
          <w:color w:val="000000"/>
          <w:sz w:val="20"/>
        </w:rPr>
        <w:t>”), that Purchaser maintains policies and procedures reasonably designed to comply with applicable obligations under the BSA/PATRIOT Act. Purchaser also represents that, to the extent required by applicable law, it maintains, either directly or through the use of a third-party administrator, policies, and procedures reasonably designed for the screening of any investors in the Purchaser against Sanctions-related lists of blocked or restricted persons. Purchaser further represents and warrants that (A) the funds held by Purchaser and used to purchase the Securities were not directly or indirectly derived from or related to any activities that may contravene U.S. federal, state, or non-U.S. anti-money laundering, anti-corruption, or Sanctions laws and regulations or activities that may otherwise be deemed criminal and (B) any returns from the Purchaser’s investment will not be used to finance any illegal activities. For purposes of this Agreement, “</w:t>
      </w:r>
      <w:r>
        <w:rPr>
          <w:rFonts w:ascii="Times New Roman" w:hAnsi="Times New Roman"/>
          <w:color w:val="000000"/>
          <w:sz w:val="20"/>
          <w:u w:val="single"/>
        </w:rPr>
        <w:t>Sanctioned Person</w:t>
      </w:r>
      <w:r>
        <w:rPr>
          <w:rFonts w:ascii="Times New Roman" w:hAnsi="Times New Roman"/>
          <w:color w:val="000000"/>
          <w:sz w:val="20"/>
        </w:rPr>
        <w:t>” means at any time any person or entity with whom dealings are restricted, prohibited, or sanctionable under any Sanctions (as defined below), including as a result of being: (I) listed on any Sanctions-related list of designated or blocked or restricted persons; (II) that is a national of, the government of, or any agency or instrumentality of the government of, or resident in, or organized under the laws of, a country or territory that is the target of comprehensive Sanctions from time to time (as of the date of this Agreement, Cuba, Iran, North Korea, Syria, and the Crimea region); or (III) a relationship of ownership, control, or agency with any of the foregoing. “</w:t>
      </w:r>
      <w:r>
        <w:rPr>
          <w:rFonts w:ascii="Times New Roman" w:hAnsi="Times New Roman"/>
          <w:color w:val="000000"/>
          <w:sz w:val="20"/>
          <w:u w:val="single"/>
        </w:rPr>
        <w:t>Sanctions</w:t>
      </w:r>
      <w:r>
        <w:rPr>
          <w:rFonts w:ascii="Times New Roman" w:hAnsi="Times New Roman"/>
          <w:color w:val="000000"/>
          <w:sz w:val="20"/>
        </w:rPr>
        <w:t>” means those trade, economic and financial sanctions laws, regulations, embargoes, and restrictive measures (in each case having the force of law) administered, enacted, or enforced from time to time by (1) the United States (including without limitation the U.S. Department of the Treasury, Office of Foreign Assets Control, the U.S. Department of State, and the U.S. Department of Commerce), (2) the European Union and enforced by its member states, (3) the United Nations, and (4) the United Kingdom.</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w:t>
      </w:r>
      <w:r>
        <w:rPr>
          <w:rFonts w:ascii="Times New Roman" w:hAnsi="Times New Roman"/>
          <w:color w:val="000000"/>
          <w:sz w:val="20"/>
          <w:u w:val="single"/>
        </w:rPr>
        <w:t>Non-cooperative Jurisdiction</w:t>
      </w:r>
      <w:r>
        <w:rPr>
          <w:rFonts w:ascii="Times New Roman" w:hAnsi="Times New Roman"/>
          <w:color w:val="000000"/>
          <w:sz w:val="20"/>
        </w:rPr>
        <w:t>. Purchaser is not owned or controlled by or acting on behalf of (in connection with this Agreement), a person or entity resident in, or whose funds used to purchase the Securities are transferred from or through, a country, territory, or entity that (i) has been designated as non-cooperative with international anti-money laundering or counter terrorist financing principles or procedures by the United States or by an intergovernmental group or organization, such as the Financial Action Task Force, of which the United States is a member; (ii) is the subject of an advisory issued by the Financial Crimes Enforcement Network of the U.S. Department of the Treasury; or (iii) has been designated by the Secretary of the Treasury under Section 311 of the USA PATRIOT Act as warranting special measures due to money laundering concerns (any such country or territory, a “</w:t>
      </w:r>
      <w:r>
        <w:rPr>
          <w:rFonts w:ascii="Times New Roman" w:hAnsi="Times New Roman"/>
          <w:color w:val="000000"/>
          <w:sz w:val="20"/>
          <w:u w:val="single"/>
        </w:rPr>
        <w:t>Non-cooperative Jurisdiction</w:t>
      </w:r>
      <w:r>
        <w:rPr>
          <w:rFonts w:ascii="Times New Roman" w:hAnsi="Times New Roman"/>
          <w:color w:val="000000"/>
          <w:sz w:val="20"/>
        </w:rPr>
        <w:t>”), or an entity or individual that resides or has a place of business in, or is organized under the laws of, a Non-cooperative Jurisdiction.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 </w:t>
      </w:r>
      <w:r>
        <w:rPr>
          <w:rFonts w:ascii="Times New Roman" w:hAnsi="Times New Roman"/>
          <w:color w:val="000000"/>
          <w:sz w:val="20"/>
          <w:u w:val="single"/>
        </w:rPr>
        <w:t>ERISA</w:t>
      </w:r>
      <w:r>
        <w:rPr>
          <w:rFonts w:ascii="Times New Roman" w:hAnsi="Times New Roman"/>
          <w:color w:val="000000"/>
          <w:sz w:val="20"/>
        </w:rPr>
        <w:t>. If Purchaser is an employee benefit plan that is subject to Title I of the Employee Retirement Income Security Act of 1974, as amended (“</w:t>
      </w:r>
      <w:r>
        <w:rPr>
          <w:rFonts w:ascii="Times New Roman" w:hAnsi="Times New Roman"/>
          <w:color w:val="000000"/>
          <w:sz w:val="20"/>
          <w:u w:val="single"/>
        </w:rPr>
        <w:t>ERISA</w:t>
      </w:r>
      <w:r>
        <w:rPr>
          <w:rFonts w:ascii="Times New Roman" w:hAnsi="Times New Roman"/>
          <w:color w:val="000000"/>
          <w:sz w:val="20"/>
        </w:rPr>
        <w:t xml:space="preserve">”),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subject to the fiduciary or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21</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prohibited transaction provisions of ERISA or section 4975 of the Code, Purchaser represents and warrants that the acquisition and holding of the Securities will not result in a non-exempt prohibited transaction under ERISA or Section 4975 of the Code.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IV.</w:t>
        <w:br/>
        <w:t>OTHER AGREEMENTS OF THE PARTIES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4.1 </w:t>
      </w:r>
      <w:r>
        <w:rPr>
          <w:rFonts w:ascii="Times New Roman" w:hAnsi="Times New Roman"/>
          <w:color w:val="000000"/>
          <w:sz w:val="20"/>
          <w:u w:val="single"/>
        </w:rPr>
        <w:t>Warrant Shares</w:t>
      </w:r>
      <w:r>
        <w:rPr>
          <w:rFonts w:ascii="Times New Roman" w:hAnsi="Times New Roman"/>
          <w:color w:val="000000"/>
          <w:sz w:val="20"/>
        </w:rPr>
        <w:t>. If all or any portion of the Warrants are exercised at a time when there is an effective registration statement to cover the issuance or resale of the Warrant Shares or if the Warrants are exercised via cashless exercise,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best efforts to keep a registration statement (including the Registration Statement) registering the issuance or resale of the Warrant Shares effective during the term of the Warrants.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4.2 </w:t>
      </w:r>
      <w:r>
        <w:rPr>
          <w:rFonts w:ascii="Times New Roman" w:hAnsi="Times New Roman"/>
          <w:color w:val="000000"/>
          <w:sz w:val="20"/>
          <w:u w:val="single"/>
        </w:rPr>
        <w:t>Furnishing of Information</w:t>
      </w:r>
      <w:r>
        <w:rPr>
          <w:rFonts w:ascii="Times New Roman" w:hAnsi="Times New Roman"/>
          <w:color w:val="000000"/>
          <w:sz w:val="20"/>
        </w:rPr>
        <w:t>. Until the earliest of the time that (i) no Purchaser owns Securities or (ii) the Warrants have expired, the Company covenants to use its reasonable efforts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 except in the event that the Company consummates: (A) any transaction or series of related transactions as a result of which any Person (together with its Affiliates) acquires then outstanding securities of the Company representing more than fifty percent (50%) of the voting control of the Company; (B) a merger or reorganization of the Company with one or more other entities in which the Company is not the surviving entity; or (C) a sale of all or substantially all of the assets of the Company.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4.3 </w:t>
      </w:r>
      <w:r>
        <w:rPr>
          <w:rFonts w:ascii="Times New Roman" w:hAnsi="Times New Roman"/>
          <w:color w:val="000000"/>
          <w:sz w:val="20"/>
          <w:u w:val="single"/>
        </w:rPr>
        <w:t>Integration</w:t>
      </w:r>
      <w:r>
        <w:rPr>
          <w:rFonts w:ascii="Times New Roman" w:hAnsi="Times New Roman"/>
          <w:color w:val="000000"/>
          <w:sz w:val="20"/>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4.4 </w:t>
      </w:r>
      <w:r>
        <w:rPr>
          <w:rFonts w:ascii="Times New Roman" w:hAnsi="Times New Roman"/>
          <w:color w:val="000000"/>
          <w:sz w:val="20"/>
          <w:u w:val="single"/>
        </w:rPr>
        <w:t>Securities Laws Disclosure; Publicity</w:t>
      </w:r>
      <w:r>
        <w:rPr>
          <w:rFonts w:ascii="Times New Roman" w:hAnsi="Times New Roman"/>
          <w:color w:val="000000"/>
          <w:sz w:val="20"/>
        </w:rPr>
        <w:t xml:space="preserve">. The Company shall (a) by the Disclosure Time, issue a press release disclosing the material terms of the transactions contemplated hereby, and (b) file a Current Report on Form 8-K, including the Transaction Documents as exhibits thereto, with the SEC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Affiliates or agents, including, without limitation, the Placement Agent, on the one hand, and any of the Purchasers or any of their Affiliates on the other hand, shall terminate and be of no further force or effect. The Company understands and confirms that each Purchaser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22</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SEC or any regulatory agency or Trading Market, without the prior written consent of such Purchaser, except (a) as required by federal securities law in connection with the filing of final Transaction Documents with the SEC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4.5 </w:t>
      </w:r>
      <w:r>
        <w:rPr>
          <w:rFonts w:ascii="Times New Roman" w:hAnsi="Times New Roman"/>
          <w:color w:val="000000"/>
          <w:sz w:val="20"/>
          <w:u w:val="single"/>
        </w:rPr>
        <w:t>Shareholder Rights Plan</w:t>
      </w:r>
      <w:r>
        <w:rPr>
          <w:rFonts w:ascii="Times New Roman" w:hAnsi="Times New Roman"/>
          <w:color w:val="000000"/>
          <w:sz w:val="20"/>
        </w:rPr>
        <w:t>. No claim will be made or enforced by the Company or, with the consent of the Company, any other Person, that any Purchaser is an “</w:t>
      </w:r>
      <w:r>
        <w:rPr>
          <w:rFonts w:ascii="Times New Roman" w:hAnsi="Times New Roman"/>
          <w:color w:val="000000"/>
          <w:sz w:val="20"/>
          <w:u w:val="single"/>
        </w:rPr>
        <w:t>Acquiring Person</w:t>
      </w:r>
      <w:r>
        <w:rPr>
          <w:rFonts w:ascii="Times New Roman" w:hAnsi="Times New Roman"/>
          <w:color w:val="000000"/>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4.6 </w:t>
      </w:r>
      <w:r>
        <w:rPr>
          <w:rFonts w:ascii="Times New Roman" w:hAnsi="Times New Roman"/>
          <w:color w:val="000000"/>
          <w:sz w:val="20"/>
          <w:u w:val="single"/>
        </w:rPr>
        <w:t>Non-Public Information</w:t>
      </w:r>
      <w:r>
        <w:rPr>
          <w:rFonts w:ascii="Times New Roman" w:hAnsi="Times New Roman"/>
          <w:color w:val="000000"/>
          <w:sz w:val="20"/>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SEC on a Current Report on Form 8-K or shall issue a press release containing such material non-public information. The Company understands and confirms that each Purchaser shall be relying on the foregoing covenant in effecting transactions in securities of the Company.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4.7 </w:t>
      </w:r>
      <w:r>
        <w:rPr>
          <w:rFonts w:ascii="Times New Roman" w:hAnsi="Times New Roman"/>
          <w:color w:val="000000"/>
          <w:sz w:val="20"/>
          <w:u w:val="single"/>
        </w:rPr>
        <w:t>Use of Proceeds</w:t>
      </w:r>
      <w:r>
        <w:rPr>
          <w:rFonts w:ascii="Times New Roman" w:hAnsi="Times New Roman"/>
          <w:color w:val="000000"/>
          <w:sz w:val="20"/>
        </w:rPr>
        <w:t>. The Company shall use the net proceeds from the sale of the Securities hereunder for the purposes set forth in the Prospectus, and shall not use such proceeds: (a) for the satisfaction of any portion of the Company’s debt (other than payment of trade payables in the ordinary course of the Company’s business and prior practices), (b) for the redemption of any shares of Common Stock or Common Stock Equivalents, (c) for the settlement of any outstanding litigation or (d) in violation of FCPA or OFAC regulations.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4.8 </w:t>
      </w:r>
      <w:r>
        <w:rPr>
          <w:rFonts w:ascii="Times New Roman" w:hAnsi="Times New Roman"/>
          <w:color w:val="000000"/>
          <w:sz w:val="20"/>
          <w:u w:val="single"/>
        </w:rPr>
        <w:t>Indemnification of Purchasers</w:t>
      </w:r>
      <w:r>
        <w:rPr>
          <w:rFonts w:ascii="Times New Roman" w:hAnsi="Times New Roman"/>
          <w:color w:val="000000"/>
          <w:sz w:val="20"/>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hAnsi="Times New Roman"/>
          <w:color w:val="000000"/>
          <w:sz w:val="20"/>
          <w:u w:val="single"/>
        </w:rPr>
        <w:t>Purchaser Party</w:t>
      </w:r>
      <w:r>
        <w:rPr>
          <w:rFonts w:ascii="Times New Roman" w:hAnsi="Times New Roman"/>
          <w:color w:val="000000"/>
          <w:sz w:val="20"/>
        </w:rPr>
        <w:t xml:space="preserve">”)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(i) any breach of any of the representations, warranties, covenants or agreements made by the Company in this Agreement or in the other Transaction Documents, (ii) any untrue statement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23</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or alleged untrue statement of a material fact contained in the Registration Statement or Prospectus or by any omission or alleged omission to state therein a material fact necessary to make the statements therein, in light of the circumstances under which they were made, not misleading (other than untrue statements or alleged untrue statements in, or omissions or alleged omissions from, information relating to a Purchaser Party furnished in writing by or on behalf of such Purchaser Party expressly for use in the Registration Statement or Prospectus), or (iii) any Proceeding instituted against the Purchaser Parties in any capacity (including a Purchaser Party’s status as an investor), or any of them or their respective Affiliates, by the Company or any stockholder of the Company who is not an Affiliate of such Purchaser Party, arising out of or relating to any of the transactions contemplated by the Transaction Documents. For avoidance of doubt, the indemnification provided herein is intended to and shall also cover, direct claims brought by the Company against the Purchaser Parties; provided, however, that such indemnification shall not cover any loss, claim, damage or liability to the extent it is finally judicially determined to be attributable to any Purchaser Party’s breach of any of the representations, warranties, covenants or agreements made by such Purchaser Party in any Transaction Document or any conduct by a Purchaser Party which is finally judicially determined to constitute fraud, gross negligence or willful misconduct. If any Proceeding shall be brought against any Purchaser Party in respect of which indemnity may be sought pursuant to this Agreement, such Purchaser Party shall promptly notify the Company in writing, and, except with respect to direct claims brought by the Company, the Company shall have the right to assume the defense thereof with counsel of its own choosing reasonably acceptable to the Purchaser Party. Any Purchaser Party shall have the right to employ separate counsel in any such Proceeding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Proceeding there is, in the reasonable opinion of counsel to the applicable Purchaser Party (which may be internal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for any settlement by a Purchaser Party effected without the Company’s prior written consent, which shall not be unreasonably withheld or delayed. In addition, if any Purchaser Party takes actions to collect amounts due under any Transaction Documents or to enforce the provisions of any Transaction Documents, then the Company shall pay the cost incurred by such Purchaser Party for such collection, enforcement or action, including, but not limited to, attorney’s fees and disbursements. The indemnification and other payment obligations required by this Section 4.8 shall be made by periodic payments of the amount thereof during the course of the investigation, defense, collection, enforcement or action, as and when bills are received or are incurred; provided, that if any Purchaser Party is finally judicially determined not to be entitled to indemnification or payment under this Section 4.8, such Purchaser Party shall promptly reimburse the Company for any payments that are advanced under this sentence.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4.9 </w:t>
      </w:r>
      <w:r>
        <w:rPr>
          <w:rFonts w:ascii="Times New Roman" w:hAnsi="Times New Roman"/>
          <w:color w:val="000000"/>
          <w:sz w:val="20"/>
          <w:u w:val="single"/>
        </w:rPr>
        <w:t>Reservation of Shares of Common Stock</w:t>
      </w:r>
      <w:r>
        <w:rPr>
          <w:rFonts w:ascii="Times New Roman" w:hAnsi="Times New Roman"/>
          <w:color w:val="000000"/>
          <w:sz w:val="20"/>
        </w:rPr>
        <w:t>. As of the date of this Agreement, the Company has reserved and the Company shall continue to reserve and keep available at all times, free of preemptive rights, a sufficient number of shares of Common Stock for the purpose of enabling the Company to issue the Shares pursuant to this Agreement and Warrant Shares pursuant to any exercise of the Warrants.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4.10 </w:t>
      </w:r>
      <w:r>
        <w:rPr>
          <w:rFonts w:ascii="Times New Roman" w:hAnsi="Times New Roman"/>
          <w:color w:val="000000"/>
          <w:sz w:val="20"/>
          <w:u w:val="single"/>
        </w:rPr>
        <w:t>Listing of Shares</w:t>
      </w:r>
      <w:r>
        <w:rPr>
          <w:rFonts w:ascii="Times New Roman" w:hAnsi="Times New Roman"/>
          <w:color w:val="000000"/>
          <w:sz w:val="20"/>
        </w:rPr>
        <w:t xml:space="preserve">. The Company hereby agrees to use commercially reasonable efforts to maintain the listing or quotation of the Shares and Warrant Shares on each Trading Market on which any shares of Common Stock are currently listed, and concurrently with the Closing, the Company shall apply to list or quote all of the Shares and Warrant Shares on such Trading Markets and promptly secure the listing of all of the Shares and Warrant Shares on such Trading Markets. The Company further agrees, if the Company applies to have the shares of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shares of Common Stock on a Trading Market and will comply in all material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Notwithstanding the foregoing, this Section 4.10 shall not apply in the event that the Company consummates: (i) any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24</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transaction or series of related transactions as a result of which any Person (together with its Affiliates) acquires then outstanding securities of the Company representing more than fifty percent (50%) of the voting control of the Company; (ii) a merger or reorganization of the Company with one or more other entities in which the Company is not the surviving entity; or (iii) a sale of all or substantially all of the assets of the Company.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4.11 </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4.12 </w:t>
      </w:r>
      <w:r>
        <w:rPr>
          <w:rFonts w:ascii="Times New Roman" w:hAnsi="Times New Roman"/>
          <w:color w:val="000000"/>
          <w:sz w:val="20"/>
          <w:u w:val="single"/>
        </w:rPr>
        <w:t>Equal Treatment of Purchasers</w:t>
      </w:r>
      <w:r>
        <w:rPr>
          <w:rFonts w:ascii="Times New Roman" w:hAnsi="Times New Roman"/>
          <w:color w:val="000000"/>
          <w:sz w:val="20"/>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4.13 </w:t>
      </w:r>
      <w:r>
        <w:rPr>
          <w:rFonts w:ascii="Times New Roman" w:hAnsi="Times New Roman"/>
          <w:color w:val="000000"/>
          <w:sz w:val="20"/>
          <w:u w:val="single"/>
        </w:rPr>
        <w:t>Certain Transactions and Confidentiality</w:t>
      </w:r>
      <w:r>
        <w:rPr>
          <w:rFonts w:ascii="Times New Roman" w:hAnsi="Times New Roman"/>
          <w:color w:val="000000"/>
          <w:sz w:val="20"/>
        </w:rPr>
        <w:t>. Each Purchaser, severally and not jointly,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4.14 </w:t>
      </w:r>
      <w:r>
        <w:rPr>
          <w:rFonts w:ascii="Times New Roman" w:hAnsi="Times New Roman"/>
          <w:color w:val="000000"/>
          <w:sz w:val="20"/>
          <w:u w:val="single"/>
        </w:rPr>
        <w:t>Exercise Procedures</w:t>
      </w:r>
      <w:r>
        <w:rPr>
          <w:rFonts w:ascii="Times New Roman" w:hAnsi="Times New Roman"/>
          <w:color w:val="000000"/>
          <w:sz w:val="20"/>
        </w:rPr>
        <w:t>. The form of Notice of Exercise included in the Warrants sets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4.15 </w:t>
      </w:r>
      <w:r>
        <w:rPr>
          <w:rFonts w:ascii="Times New Roman" w:hAnsi="Times New Roman"/>
          <w:color w:val="000000"/>
          <w:sz w:val="20"/>
          <w:u w:val="single"/>
        </w:rPr>
        <w:t>Lock-Up Agreements</w:t>
      </w:r>
      <w:r>
        <w:rPr>
          <w:rFonts w:ascii="Times New Roman" w:hAnsi="Times New Roman"/>
          <w:color w:val="000000"/>
          <w:sz w:val="20"/>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reasonable efforts to seek specific performance of the terms of such Lock-Up Agreement.</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25</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V.</w:t>
        <w:br/>
        <w:t>MISCELLANEOUS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5.1 </w:t>
      </w:r>
      <w:r>
        <w:rPr>
          <w:rFonts w:ascii="Times New Roman" w:hAnsi="Times New Roman"/>
          <w:color w:val="000000"/>
          <w:sz w:val="20"/>
          <w:u w:val="single"/>
        </w:rPr>
        <w:t>Termination</w:t>
      </w:r>
      <w:r>
        <w:rPr>
          <w:rFonts w:ascii="Times New Roman" w:hAnsi="Times New Roman"/>
          <w:color w:val="000000"/>
          <w:sz w:val="20"/>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(5th) Trading Day following the date hereof;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no such termination will affect the right of any party hereto to sue for any breach by any other party (or parties).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5.2 </w:t>
      </w:r>
      <w:r>
        <w:rPr>
          <w:rFonts w:ascii="Times New Roman" w:hAnsi="Times New Roman"/>
          <w:color w:val="000000"/>
          <w:sz w:val="20"/>
          <w:u w:val="single"/>
        </w:rPr>
        <w:t>Fees and Expenses</w:t>
      </w:r>
      <w:r>
        <w:rPr>
          <w:rFonts w:ascii="Times New Roman" w:hAnsi="Times New Roman"/>
          <w:color w:val="000000"/>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5.3 </w:t>
      </w:r>
      <w:r>
        <w:rPr>
          <w:rFonts w:ascii="Times New Roman" w:hAnsi="Times New Roman"/>
          <w:color w:val="000000"/>
          <w:sz w:val="20"/>
          <w:u w:val="single"/>
        </w:rPr>
        <w:t>Entire Agreement</w:t>
      </w:r>
      <w:r>
        <w:rPr>
          <w:rFonts w:ascii="Times New Roman" w:hAnsi="Times New Roman"/>
          <w:color w:val="000000"/>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5.4 </w:t>
      </w:r>
      <w:r>
        <w:rPr>
          <w:rFonts w:ascii="Times New Roman" w:hAnsi="Times New Roman"/>
          <w:color w:val="000000"/>
          <w:sz w:val="20"/>
          <w:u w:val="single"/>
        </w:rPr>
        <w:t>Notices</w:t>
      </w:r>
      <w:r>
        <w:rPr>
          <w:rFonts w:ascii="Times New Roman" w:hAnsi="Times New Roman"/>
          <w:color w:val="000000"/>
          <w:sz w:val="20"/>
        </w:rPr>
        <w:t>. Any and all notices or other communications or deliveries required or permitted to be provided hereunder shall be in writing and shall be deemed given and effective on the earliest of: (i) the time of transmission, if such notice or communication is delivered via facsimile at the facsimile number or email attachment at the email address as set forth on the signature pages attached hereto at or prior to 5:30 p.m. (New York, NY time) on a Trading Day, (ii)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 York, NY time) on any Trading Day, (iii) the second (2nd) Trading Day following the date of mailing, if sent by U.S. nationally recognized overnight courier service or (iv)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SEC pursuant to a Current Report on Form 8-K or by issuing a press release containing such material non-public information.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5.5 </w:t>
      </w:r>
      <w:r>
        <w:rPr>
          <w:rFonts w:ascii="Times New Roman" w:hAnsi="Times New Roman"/>
          <w:color w:val="000000"/>
          <w:sz w:val="20"/>
          <w:u w:val="single"/>
        </w:rPr>
        <w:t>Amendments; Waivers</w:t>
      </w:r>
      <w:r>
        <w:rPr>
          <w:rFonts w:ascii="Times New Roman" w:hAnsi="Times New Roman"/>
          <w:color w:val="000000"/>
          <w:sz w:val="20"/>
        </w:rPr>
        <w:t>. No provision of this Agreement may be waived, modified, supplemented or amended except in a written instrument signed, in the case of an amendment, by the Company and Purchasers which purchased at least 50.1% in interest of the Shares based on the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5.5 shall be binding upon each Purchaser and holder of Securities and the Company.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5.6 </w:t>
      </w:r>
      <w:r>
        <w:rPr>
          <w:rFonts w:ascii="Times New Roman" w:hAnsi="Times New Roman"/>
          <w:color w:val="000000"/>
          <w:sz w:val="20"/>
          <w:u w:val="single"/>
        </w:rPr>
        <w:t>Headings</w:t>
      </w:r>
      <w:r>
        <w:rPr>
          <w:rFonts w:ascii="Times New Roman" w:hAnsi="Times New Roman"/>
          <w:color w:val="000000"/>
          <w:sz w:val="20"/>
        </w:rPr>
        <w:t>. The headings herein are for convenience only, do not constitute a part of this Agreement and shall not be deemed to limit or affect any of the provisions 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5.7 </w:t>
      </w:r>
      <w:r>
        <w:rPr>
          <w:rFonts w:ascii="Times New Roman" w:hAnsi="Times New Roman"/>
          <w:color w:val="000000"/>
          <w:sz w:val="20"/>
          <w:u w:val="single"/>
        </w:rPr>
        <w:t>Successors and Assigns</w:t>
      </w:r>
      <w:r>
        <w:rPr>
          <w:rFonts w:ascii="Times New Roman" w:hAnsi="Times New Roman"/>
          <w:color w:val="000000"/>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26</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5.8 </w:t>
      </w:r>
      <w:r>
        <w:rPr>
          <w:rFonts w:ascii="Times New Roman" w:hAnsi="Times New Roman"/>
          <w:color w:val="000000"/>
          <w:sz w:val="20"/>
          <w:u w:val="single"/>
        </w:rPr>
        <w:t>Third-Party Beneficiaries</w:t>
      </w:r>
      <w:r>
        <w:rPr>
          <w:rFonts w:ascii="Times New Roman" w:hAnsi="Times New Roman"/>
          <w:color w:val="000000"/>
          <w:sz w:val="20"/>
        </w:rPr>
        <w:t>. The Placement Agent shall be a third-party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5.9 </w:t>
      </w:r>
      <w:r>
        <w:rPr>
          <w:rFonts w:ascii="Times New Roman" w:hAnsi="Times New Roman"/>
          <w:color w:val="000000"/>
          <w:sz w:val="20"/>
          <w:u w:val="single"/>
        </w:rPr>
        <w:t>Governing Law</w:t>
      </w:r>
      <w:r>
        <w:rPr>
          <w:rFonts w:ascii="Times New Roman" w:hAnsi="Times New Roman"/>
          <w:color w:val="000000"/>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Proceeding, any claim that it is not personally subject to the jurisdiction of any such court, that such Proceeding is improper or is an inconvenient venue for such Proceeding. Each party hereby irrevocably waives personal service of process and consents to process being served in any such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Proceeding to enforce any provisions of the Transaction Documents, then, in addition to the obligations of the Company under Section 4.8, the prevailing party in such Proceeding shall be reimbursed by the non-prevailing party for its reasonable attorneys’ fees and other costs and expenses incurred with the investigation, preparation and prosecution of such Proceeding.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5.10 </w:t>
      </w:r>
      <w:r>
        <w:rPr>
          <w:rFonts w:ascii="Times New Roman" w:hAnsi="Times New Roman"/>
          <w:color w:val="000000"/>
          <w:sz w:val="20"/>
          <w:u w:val="single"/>
        </w:rPr>
        <w:t>Survival</w:t>
      </w:r>
      <w:r>
        <w:rPr>
          <w:rFonts w:ascii="Times New Roman" w:hAnsi="Times New Roman"/>
          <w:color w:val="000000"/>
          <w:sz w:val="20"/>
        </w:rPr>
        <w:t>. The representations and warranties contained herein shall survive the Closing and the delivery of the Securities for the applicable statute of limitations.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5.11 </w:t>
      </w:r>
      <w:r>
        <w:rPr>
          <w:rFonts w:ascii="Times New Roman" w:hAnsi="Times New Roman"/>
          <w:color w:val="000000"/>
          <w:sz w:val="20"/>
          <w:u w:val="single"/>
        </w:rPr>
        <w:t>Execution</w:t>
      </w:r>
      <w:r>
        <w:rPr>
          <w:rFonts w:ascii="Times New Roman" w:hAnsi="Times New Roman"/>
          <w:color w:val="000000"/>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5.12 </w:t>
      </w:r>
      <w:r>
        <w:rPr>
          <w:rFonts w:ascii="Times New Roman" w:hAnsi="Times New Roman"/>
          <w:color w:val="000000"/>
          <w:sz w:val="20"/>
          <w:u w:val="single"/>
        </w:rPr>
        <w:t>Severability</w:t>
      </w:r>
      <w:r>
        <w:rPr>
          <w:rFonts w:ascii="Times New Roman" w:hAnsi="Times New Roman"/>
          <w:color w:val="000000"/>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5.13 </w:t>
      </w:r>
      <w:r>
        <w:rPr>
          <w:rFonts w:ascii="Times New Roman" w:hAnsi="Times New Roman"/>
          <w:color w:val="000000"/>
          <w:sz w:val="20"/>
          <w:u w:val="single"/>
        </w:rPr>
        <w:t>Rescission and Withdrawal Right</w:t>
      </w:r>
      <w:r>
        <w:rPr>
          <w:rFonts w:ascii="Times New Roman" w:hAnsi="Times New Roman"/>
          <w:color w:val="000000"/>
          <w:sz w:val="20"/>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in the case of a rescission of an exercise of an Warrant, the applicable Purchaser shall be required to return any shares of Common Stock subject to any such rescinded exercise notice concurrently (if such shares were delivered to the applicable Purchaser) with the return to such Purchaser of the aggregate exercise price paid to the Company for such shares and the restoration of such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27</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Purchaser’s right to acquire such shares pursuant to such Purchaser’s Warrant (including, issuance of a replacement warrant certificate evidencing such restored right).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5.14 </w:t>
      </w:r>
      <w:r>
        <w:rPr>
          <w:rFonts w:ascii="Times New Roman" w:hAnsi="Times New Roman"/>
          <w:color w:val="000000"/>
          <w:sz w:val="20"/>
          <w:u w:val="single"/>
        </w:rPr>
        <w:t>Replacement of Securities</w:t>
      </w:r>
      <w:r>
        <w:rPr>
          <w:rFonts w:ascii="Times New Roman" w:hAnsi="Times New Roman"/>
          <w:color w:val="000000"/>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5.15 </w:t>
      </w:r>
      <w:r>
        <w:rPr>
          <w:rFonts w:ascii="Times New Roman" w:hAnsi="Times New Roman"/>
          <w:color w:val="000000"/>
          <w:sz w:val="20"/>
          <w:u w:val="single"/>
        </w:rPr>
        <w:t>Remedies</w:t>
      </w:r>
      <w:r>
        <w:rPr>
          <w:rFonts w:ascii="Times New Roman" w:hAnsi="Times New Roman"/>
          <w:color w:val="000000"/>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Proceeding for specific performance of any such obligation the defense that a remedy at law would be adequate.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5.16 </w:t>
      </w:r>
      <w:r>
        <w:rPr>
          <w:rFonts w:ascii="Times New Roman" w:hAnsi="Times New Roman"/>
          <w:color w:val="000000"/>
          <w:sz w:val="20"/>
          <w:u w:val="single"/>
        </w:rPr>
        <w:t>Payment Set Aside</w:t>
      </w:r>
      <w:r>
        <w:rPr>
          <w:rFonts w:ascii="Times New Roman" w:hAnsi="Times New Roman"/>
          <w:color w:val="000000"/>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5.17 </w:t>
      </w:r>
      <w:r>
        <w:rPr>
          <w:rFonts w:ascii="Times New Roman" w:hAnsi="Times New Roman"/>
          <w:color w:val="000000"/>
          <w:sz w:val="20"/>
          <w:u w:val="single"/>
        </w:rPr>
        <w:t>Independent Nature of Purchasers’ Obligations and Rights</w:t>
      </w:r>
      <w:r>
        <w:rPr>
          <w:rFonts w:ascii="Times New Roman" w:hAnsi="Times New Roman"/>
          <w:color w:val="000000"/>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5.18 </w:t>
      </w:r>
      <w:r>
        <w:rPr>
          <w:rFonts w:ascii="Times New Roman" w:hAnsi="Times New Roman"/>
          <w:color w:val="000000"/>
          <w:sz w:val="20"/>
          <w:u w:val="single"/>
        </w:rPr>
        <w:t>Liquidated Damages</w:t>
      </w:r>
      <w:r>
        <w:rPr>
          <w:rFonts w:ascii="Times New Roman" w:hAnsi="Times New Roman"/>
          <w:color w:val="000000"/>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5.19 </w:t>
      </w:r>
      <w:r>
        <w:rPr>
          <w:rFonts w:ascii="Times New Roman" w:hAnsi="Times New Roman"/>
          <w:color w:val="000000"/>
          <w:sz w:val="20"/>
          <w:u w:val="single"/>
        </w:rPr>
        <w:t>Saturdays, Sundays, Holidays, etc.</w:t>
      </w:r>
      <w:r>
        <w:rPr>
          <w:rFonts w:ascii="Times New Roman" w:hAnsi="Times New Roman"/>
          <w:color w:val="000000"/>
          <w:sz w:val="20"/>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5.20 </w:t>
      </w:r>
      <w:r>
        <w:rPr>
          <w:rFonts w:ascii="Times New Roman" w:hAnsi="Times New Roman"/>
          <w:color w:val="000000"/>
          <w:sz w:val="20"/>
          <w:u w:val="single"/>
        </w:rPr>
        <w:t>Construction</w:t>
      </w:r>
      <w:r>
        <w:rPr>
          <w:rFonts w:ascii="Times New Roman" w:hAnsi="Times New Roman"/>
          <w:color w:val="000000"/>
          <w:sz w:val="20"/>
        </w:rPr>
        <w:t xml:space="preserve">.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28</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Transaction Documents or any amendments thereto. In addition, each and every reference to share prices and shares of Common Stock in any Transaction Document shall be subject to adjustment for reverse and forward share splits, share dividends, share combinations and other similar events with respect to the shares of Common Stock and Warrants that occur after the date of this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5.21 </w:t>
      </w:r>
      <w:r>
        <w:rPr>
          <w:rFonts w:ascii="Times New Roman" w:hAnsi="Times New Roman"/>
          <w:color w:val="000000"/>
          <w:sz w:val="20"/>
          <w:u w:val="single"/>
        </w:rPr>
        <w:t>Sales During Pre-Settlement Period</w:t>
      </w:r>
      <w:r>
        <w:rPr>
          <w:rFonts w:ascii="Times New Roman" w:hAnsi="Times New Roman"/>
          <w:color w:val="000000"/>
          <w:sz w:val="20"/>
        </w:rPr>
        <w:t>. Notwithstanding anything herein to the contrary, if at any time on or after the time of execution of this Agreement by the Company and an applicable Purchaser, through, and including the time immediately prior to a Closing (the “</w:t>
      </w:r>
      <w:r>
        <w:rPr>
          <w:rFonts w:ascii="Times New Roman" w:hAnsi="Times New Roman"/>
          <w:color w:val="000000"/>
          <w:sz w:val="20"/>
          <w:u w:val="single"/>
        </w:rPr>
        <w:t>Pre-Settlement Period</w:t>
      </w:r>
      <w:r>
        <w:rPr>
          <w:rFonts w:ascii="Times New Roman" w:hAnsi="Times New Roman"/>
          <w:color w:val="000000"/>
          <w:sz w:val="20"/>
        </w:rPr>
        <w:t>”), such Purchaser sells to any Person all, or any portion, of any Shares to be issued hereunder to such Purchaser at the Closing (collectively, the “</w:t>
      </w:r>
      <w:r>
        <w:rPr>
          <w:rFonts w:ascii="Times New Roman" w:hAnsi="Times New Roman"/>
          <w:color w:val="000000"/>
          <w:sz w:val="20"/>
          <w:u w:val="single"/>
        </w:rPr>
        <w:t>Pre-Settlement Shares</w:t>
      </w:r>
      <w:r>
        <w:rPr>
          <w:rFonts w:ascii="Times New Roman" w:hAnsi="Times New Roman"/>
          <w:color w:val="000000"/>
          <w:sz w:val="20"/>
        </w:rPr>
        <w:t>”), such Purchaser shall, automatically hereunder (without any additional required actions by such Purchaser or the Company), be deemed to be unconditionally bound to purchase, and the Company shall be deemed unconditionally bound to sell, such Pre-Settlement Shares to such Purchaser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to any Person and that any such decision to sell any Shares by such Purchaser shall be made, in the sole discretion of such Purchaser, at the time such Purchaser elects to effect any such sale, if any.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5.22 </w:t>
      </w:r>
      <w:r>
        <w:rPr>
          <w:rFonts w:ascii="Times New Roman" w:hAnsi="Times New Roman"/>
          <w:b/>
          <w:color w:val="000000"/>
          <w:sz w:val="20"/>
          <w:u w:val="single"/>
        </w:rPr>
        <w:t>WAIVER OF JURY TRIAL</w:t>
      </w:r>
      <w:r>
        <w:rPr>
          <w:rFonts w:ascii="Times New Roman" w:hAnsi="Times New Roman"/>
          <w:b/>
          <w:color w:val="000000"/>
          <w:sz w:val="20"/>
        </w:rPr>
        <w:t xml:space="preserve">. </w:t>
      </w:r>
      <w:r>
        <w:rPr>
          <w:rFonts w:ascii="Times New Roman" w:hAnsi="Times New Roman"/>
          <w:b/>
          <w:color w:val="000000"/>
          <w:sz w:val="20"/>
          <w:u w:val="single"/>
        </w:rPr>
        <w:t>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r>
        <w:rPr>
          <w:rFonts w:ascii="Times New Roman" w:hAnsi="Times New Roman"/>
          <w:color w:val="000000"/>
          <w:sz w:val="20"/>
        </w:rPr>
        <w:t xml:space="preserve"> </w:t>
      </w:r>
    </w:p>
    <w:p>
      <w:pPr>
        <w:pStyle w:val="TextBody"/>
        <w:bidi w:val="0"/>
        <w:spacing w:before="0" w:after="240"/>
        <w:jc w:val="center"/>
        <w:rPr>
          <w:rFonts w:ascii="Times New Roman" w:hAnsi="Times New Roman"/>
          <w:i/>
          <w:color w:val="000000"/>
          <w:sz w:val="20"/>
        </w:rPr>
      </w:pPr>
      <w:r>
        <w:rPr>
          <w:rFonts w:ascii="Times New Roman" w:hAnsi="Times New Roman"/>
          <w:i/>
          <w:color w:val="000000"/>
          <w:sz w:val="20"/>
        </w:rPr>
        <w:t>(Signature Pages Follow)</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29</w:t>
      </w:r>
      <w:r>
        <w:rPr>
          <w:rFonts w:ascii="Times New Roman" w:hAnsi="Times New Roman"/>
          <w:color w:val="000000"/>
          <w:sz w:val="20"/>
        </w:rPr>
        <w:t xml:space="preserve"> of </w:t>
      </w:r>
      <w:r>
        <w:rPr>
          <w:rFonts w:ascii="Times New Roman" w:hAnsi="Times New Roman"/>
          <w:b/>
          <w:color w:val="000000"/>
          <w:sz w:val="20"/>
        </w:rPr>
        <w:t>33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parties hereto have caused this Securities Purchase Agreement to be duly executed by their respective authorized signatories as of the date first indicated above.</w:t>
      </w:r>
    </w:p>
    <w:p>
      <w:pPr>
        <w:pStyle w:val="TextBody"/>
        <w:bidi w:val="0"/>
        <w:jc w:val="both"/>
        <w:rPr/>
      </w:pPr>
      <w:r>
        <w:rPr/>
        <w:t> </w:t>
      </w:r>
    </w:p>
    <w:tbl>
      <w:tblPr>
        <w:tblW w:w="6035" w:type="dxa"/>
        <w:jc w:val="left"/>
        <w:tblInd w:w="0" w:type="dxa"/>
        <w:tblLayout w:type="fixed"/>
        <w:tblCellMar>
          <w:top w:w="28" w:type="dxa"/>
          <w:left w:w="28" w:type="dxa"/>
          <w:bottom w:w="28" w:type="dxa"/>
          <w:right w:w="28" w:type="dxa"/>
        </w:tblCellMar>
      </w:tblPr>
      <w:tblGrid>
        <w:gridCol w:w="801"/>
        <w:gridCol w:w="2349"/>
        <w:gridCol w:w="109"/>
        <w:gridCol w:w="2776"/>
      </w:tblGrid>
      <w:tr>
        <w:trPr/>
        <w:tc>
          <w:tcPr>
            <w:tcW w:w="801"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31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ALAUNOS THERAPEUTICS, INC.</w:t>
            </w:r>
            <w:r>
              <w:rPr>
                <w:rFonts w:ascii="Times New Roman" w:hAnsi="Times New Roman"/>
                <w:color w:val="000000"/>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Address for Notice:</w:t>
            </w:r>
          </w:p>
        </w:tc>
      </w:tr>
      <w:tr>
        <w:trPr/>
        <w:tc>
          <w:tcPr>
            <w:tcW w:w="315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501 E. Las Olas Blvd., Suite 300</w:t>
            </w:r>
          </w:p>
          <w:p>
            <w:pPr>
              <w:pStyle w:val="TableContents"/>
              <w:bidi w:val="0"/>
              <w:jc w:val="left"/>
              <w:rPr>
                <w:rFonts w:ascii="Times New Roman" w:hAnsi="Times New Roman"/>
                <w:color w:val="000000"/>
                <w:sz w:val="20"/>
              </w:rPr>
            </w:pPr>
            <w:r>
              <w:rPr>
                <w:rFonts w:ascii="Times New Roman" w:hAnsi="Times New Roman"/>
                <w:color w:val="000000"/>
                <w:sz w:val="20"/>
              </w:rPr>
              <w:t>Fort Lauderdale, FL 33301</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Telephone: (346) 355-4099</w:t>
            </w:r>
          </w:p>
        </w:tc>
      </w:tr>
      <w:tr>
        <w:trPr/>
        <w:tc>
          <w:tcPr>
            <w:tcW w:w="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49"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/s/ Holger Weis</w:t>
            </w:r>
            <w:r>
              <w:rPr>
                <w:rFonts w:ascii="Times New Roman" w:hAnsi="Times New Roman"/>
                <w:color w:val="000000"/>
                <w:sz w:val="20"/>
              </w:rPr>
              <w:t xml:space="preserve"> </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23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Holger Weis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E-Mail: [***]</w:t>
            </w:r>
          </w:p>
        </w:tc>
      </w:tr>
      <w:tr>
        <w:trPr/>
        <w:tc>
          <w:tcPr>
            <w:tcW w:w="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w:t>
            </w:r>
          </w:p>
        </w:tc>
        <w:tc>
          <w:tcPr>
            <w:tcW w:w="23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5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5" w:type="dxa"/>
            <w:gridSpan w:val="4"/>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With a copy to (which shall not constitute notice):</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Sichenzia Ross Ference Carmel LLP</w:t>
            </w:r>
          </w:p>
          <w:p>
            <w:pPr>
              <w:pStyle w:val="TableContents"/>
              <w:bidi w:val="0"/>
              <w:spacing w:lineRule="auto" w:line="360"/>
              <w:jc w:val="left"/>
              <w:rPr>
                <w:rFonts w:ascii="Times New Roman" w:hAnsi="Times New Roman"/>
                <w:sz w:val="20"/>
              </w:rPr>
            </w:pPr>
            <w:r>
              <w:rPr>
                <w:rFonts w:ascii="Times New Roman" w:hAnsi="Times New Roman"/>
                <w:color w:val="000000"/>
                <w:sz w:val="20"/>
              </w:rPr>
              <w:t>1185 Avenue of the Americas, 26</w:t>
            </w:r>
            <w:r>
              <w:rPr>
                <w:rFonts w:ascii="Times New Roman" w:hAnsi="Times New Roman"/>
                <w:color w:val="000000"/>
                <w:sz w:val="13"/>
              </w:rPr>
              <w:t>th</w:t>
            </w:r>
            <w:r>
              <w:rPr>
                <w:rFonts w:ascii="Times New Roman" w:hAnsi="Times New Roman"/>
                <w:color w:val="000000"/>
                <w:sz w:val="20"/>
              </w:rPr>
              <w:t> Floor</w:t>
            </w:r>
          </w:p>
          <w:p>
            <w:pPr>
              <w:pStyle w:val="TableContents"/>
              <w:bidi w:val="0"/>
              <w:jc w:val="left"/>
              <w:rPr>
                <w:rFonts w:ascii="Times New Roman" w:hAnsi="Times New Roman"/>
                <w:color w:val="000000"/>
                <w:sz w:val="20"/>
              </w:rPr>
            </w:pPr>
            <w:r>
              <w:rPr>
                <w:rFonts w:ascii="Times New Roman" w:hAnsi="Times New Roman"/>
                <w:color w:val="000000"/>
                <w:sz w:val="20"/>
              </w:rPr>
              <w:t>New York, New York 10036</w:t>
            </w:r>
          </w:p>
          <w:p>
            <w:pPr>
              <w:pStyle w:val="TableContents"/>
              <w:bidi w:val="0"/>
              <w:jc w:val="left"/>
              <w:rPr>
                <w:rFonts w:ascii="Times New Roman" w:hAnsi="Times New Roman"/>
                <w:color w:val="000000"/>
                <w:sz w:val="20"/>
              </w:rPr>
            </w:pPr>
            <w:r>
              <w:rPr>
                <w:rFonts w:ascii="Times New Roman" w:hAnsi="Times New Roman"/>
                <w:color w:val="000000"/>
                <w:sz w:val="20"/>
              </w:rPr>
              <w:t xml:space="preserve">Attention: Gregory Sichenzia </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E-Mail: gsichenzia@srfc.law</w:t>
            </w:r>
          </w:p>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[REMAINDER OF PAGE INTENTIONALLY LEFT BLANK</w:t>
      </w:r>
    </w:p>
    <w:p>
      <w:pPr>
        <w:pStyle w:val="TextBody"/>
        <w:bidi w:val="0"/>
        <w:jc w:val="center"/>
        <w:rPr>
          <w:rFonts w:ascii="Times New Roman" w:hAnsi="Times New Roman"/>
          <w:color w:val="000000"/>
          <w:sz w:val="20"/>
        </w:rPr>
      </w:pPr>
      <w:r>
        <w:rPr>
          <w:rFonts w:ascii="Times New Roman" w:hAnsi="Times New Roman"/>
          <w:color w:val="000000"/>
          <w:sz w:val="20"/>
        </w:rPr>
        <w:t>SIGNATURE PAGE FOR PURCHASER FOLLOWS]</w:t>
      </w:r>
    </w:p>
    <w:p>
      <w:pPr>
        <w:pStyle w:val="TextBody"/>
        <w:bidi w:val="0"/>
        <w:jc w:val="center"/>
        <w:rPr>
          <w:rFonts w:ascii="Times New Roman" w:hAnsi="Times New Roman"/>
          <w:color w:val="000000"/>
          <w:sz w:val="20"/>
        </w:rPr>
      </w:pPr>
      <w:r>
        <w:rPr>
          <w:rFonts w:ascii="Times New Roman" w:hAnsi="Times New Roman"/>
          <w:color w:val="000000"/>
          <w:sz w:val="20"/>
        </w:rPr>
        <w:t>[SIGNATURE PAGE TO SECURITIES PURCHASE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color w:val="000000"/>
          <w:sz w:val="20"/>
        </w:rPr>
        <w:t xml:space="preserve">[PURCHASER SIGNATURE PAGES TO </w:t>
      </w:r>
      <w:r>
        <w:rPr>
          <w:rFonts w:ascii="Times New Roman" w:hAnsi="Times New Roman"/>
          <w:caps/>
          <w:color w:val="000000"/>
          <w:sz w:val="20"/>
        </w:rPr>
        <w:t>Alaunos Therapeutics, Inc.</w:t>
      </w:r>
      <w:r>
        <w:rPr>
          <w:rFonts w:ascii="Times New Roman" w:hAnsi="Times New Roman"/>
          <w:color w:val="000000"/>
          <w:sz w:val="20"/>
        </w:rPr>
        <w:t xml:space="preserve"> SECURITIES PURCHASE AGREEMENT]</w:t>
      </w:r>
    </w:p>
    <w:p>
      <w:pPr>
        <w:pStyle w:val="TextBody"/>
        <w:bidi w:val="0"/>
        <w:jc w:val="both"/>
        <w:rPr>
          <w:rFonts w:ascii="Times New Roman" w:hAnsi="Times New Roman"/>
          <w:color w:val="000000"/>
          <w:sz w:val="20"/>
        </w:rPr>
      </w:pPr>
      <w:r>
        <w:rPr>
          <w:rFonts w:ascii="Times New Roman" w:hAnsi="Times New Roman"/>
          <w:color w:val="000000"/>
          <w:sz w:val="20"/>
        </w:rPr>
        <w:t>IN WITNESS WHEREOF, the undersigned have caused this Securities Purchase Agreement to be duly executed by their respective authorized signatories as of the date first indicated above.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Name of Purchaser: </w:t>
      </w:r>
      <w:r>
        <w:rPr>
          <w:rFonts w:ascii="Times New Roman" w:hAnsi="Times New Roman"/>
          <w:color w:val="000000"/>
          <w:sz w:val="20"/>
          <w:u w:val="single"/>
        </w:rPr>
        <w:t>[***]</w:t>
      </w:r>
      <w:r>
        <w:rPr>
          <w:rFonts w:ascii="Times New Roman" w:hAnsi="Times New Roman"/>
          <w:color w:val="000000"/>
          <w:sz w:val="20"/>
        </w:rPr>
        <w:t>________________________________________________________</w:t>
      </w:r>
    </w:p>
    <w:p>
      <w:pPr>
        <w:pStyle w:val="TextBody"/>
        <w:bidi w:val="0"/>
        <w:jc w:val="both"/>
        <w:rPr>
          <w:rFonts w:ascii="Times New Roman" w:hAnsi="Times New Roman"/>
          <w:sz w:val="20"/>
        </w:rPr>
      </w:pPr>
      <w:r>
        <w:rPr>
          <w:rFonts w:ascii="Times New Roman" w:hAnsi="Times New Roman"/>
          <w:i/>
          <w:color w:val="000000"/>
          <w:sz w:val="20"/>
        </w:rPr>
        <w:t>Signature of Authorized Signatory of Purchaser</w:t>
      </w:r>
      <w:r>
        <w:rPr>
          <w:rFonts w:ascii="Times New Roman" w:hAnsi="Times New Roman"/>
          <w:color w:val="000000"/>
          <w:sz w:val="20"/>
        </w:rPr>
        <w:t xml:space="preserve">: </w:t>
      </w:r>
      <w:r>
        <w:rPr>
          <w:rFonts w:ascii="Times New Roman" w:hAnsi="Times New Roman"/>
          <w:color w:val="000000"/>
          <w:sz w:val="20"/>
          <w:u w:val="single"/>
        </w:rPr>
        <w:t>[***]</w:t>
      </w:r>
      <w:r>
        <w:rPr>
          <w:rFonts w:ascii="Times New Roman" w:hAnsi="Times New Roman"/>
          <w:color w:val="000000"/>
          <w:sz w:val="20"/>
        </w:rPr>
        <w:t>_________________________________</w:t>
      </w:r>
    </w:p>
    <w:p>
      <w:pPr>
        <w:pStyle w:val="TextBody"/>
        <w:bidi w:val="0"/>
        <w:jc w:val="both"/>
        <w:rPr>
          <w:rFonts w:ascii="Times New Roman" w:hAnsi="Times New Roman"/>
          <w:sz w:val="20"/>
        </w:rPr>
      </w:pPr>
      <w:r>
        <w:rPr>
          <w:rFonts w:ascii="Times New Roman" w:hAnsi="Times New Roman"/>
          <w:color w:val="000000"/>
          <w:sz w:val="20"/>
        </w:rPr>
        <w:t xml:space="preserve">Name of Authorized Signatory: </w:t>
      </w:r>
      <w:r>
        <w:rPr>
          <w:rFonts w:ascii="Times New Roman" w:hAnsi="Times New Roman"/>
          <w:color w:val="000000"/>
          <w:sz w:val="20"/>
          <w:u w:val="single"/>
        </w:rPr>
        <w:t>[***]</w:t>
      </w:r>
      <w:r>
        <w:rPr>
          <w:rFonts w:ascii="Times New Roman" w:hAnsi="Times New Roman"/>
          <w:color w:val="000000"/>
          <w:sz w:val="20"/>
        </w:rPr>
        <w:t>_______________________________________________</w:t>
      </w:r>
    </w:p>
    <w:p>
      <w:pPr>
        <w:pStyle w:val="TextBody"/>
        <w:bidi w:val="0"/>
        <w:jc w:val="both"/>
        <w:rPr>
          <w:rFonts w:ascii="Times New Roman" w:hAnsi="Times New Roman"/>
          <w:sz w:val="20"/>
        </w:rPr>
      </w:pPr>
      <w:r>
        <w:rPr>
          <w:rFonts w:ascii="Times New Roman" w:hAnsi="Times New Roman"/>
          <w:color w:val="000000"/>
          <w:sz w:val="20"/>
        </w:rPr>
        <w:t xml:space="preserve">Title of Authorized Signatory: </w:t>
      </w:r>
      <w:r>
        <w:rPr>
          <w:rFonts w:ascii="Times New Roman" w:hAnsi="Times New Roman"/>
          <w:color w:val="000000"/>
          <w:sz w:val="20"/>
          <w:u w:val="single"/>
        </w:rPr>
        <w:t>[***]</w:t>
      </w:r>
      <w:r>
        <w:rPr>
          <w:rFonts w:ascii="Times New Roman" w:hAnsi="Times New Roman"/>
          <w:color w:val="000000"/>
          <w:sz w:val="20"/>
        </w:rPr>
        <w:t>________________________________________________</w:t>
      </w:r>
    </w:p>
    <w:p>
      <w:pPr>
        <w:pStyle w:val="TextBody"/>
        <w:bidi w:val="0"/>
        <w:jc w:val="both"/>
        <w:rPr>
          <w:rFonts w:ascii="Times New Roman" w:hAnsi="Times New Roman"/>
          <w:sz w:val="20"/>
        </w:rPr>
      </w:pPr>
      <w:r>
        <w:rPr>
          <w:rFonts w:ascii="Times New Roman" w:hAnsi="Times New Roman"/>
          <w:color w:val="000000"/>
          <w:sz w:val="20"/>
        </w:rPr>
        <w:t xml:space="preserve">Email Address of Authorized Signatory: </w:t>
      </w:r>
      <w:r>
        <w:rPr>
          <w:rFonts w:ascii="Times New Roman" w:hAnsi="Times New Roman"/>
          <w:color w:val="000000"/>
          <w:sz w:val="20"/>
          <w:u w:val="single"/>
        </w:rPr>
        <w:t>[***]</w:t>
      </w:r>
      <w:r>
        <w:rPr>
          <w:rFonts w:ascii="Times New Roman" w:hAnsi="Times New Roman"/>
          <w:color w:val="000000"/>
          <w:sz w:val="20"/>
        </w:rPr>
        <w:t>_________________________________________</w:t>
      </w:r>
    </w:p>
    <w:p>
      <w:pPr>
        <w:pStyle w:val="TextBody"/>
        <w:bidi w:val="0"/>
        <w:jc w:val="left"/>
        <w:rPr>
          <w:rFonts w:ascii="Times New Roman" w:hAnsi="Times New Roman"/>
          <w:sz w:val="20"/>
        </w:rPr>
      </w:pPr>
      <w:r>
        <w:rPr>
          <w:rFonts w:ascii="Times New Roman" w:hAnsi="Times New Roman"/>
          <w:color w:val="000000"/>
          <w:sz w:val="20"/>
        </w:rPr>
        <w:t xml:space="preserve">Facsimile Number of Authorized Signatory: </w:t>
      </w:r>
      <w:r>
        <w:rPr>
          <w:rFonts w:ascii="Times New Roman" w:hAnsi="Times New Roman"/>
          <w:color w:val="000000"/>
          <w:sz w:val="20"/>
          <w:u w:val="single"/>
        </w:rPr>
        <w:t>[***]</w:t>
      </w:r>
      <w:r>
        <w:rPr>
          <w:rFonts w:ascii="Times New Roman" w:hAnsi="Times New Roman"/>
          <w:color w:val="000000"/>
          <w:sz w:val="20"/>
        </w:rPr>
        <w:t>__________________________________________</w:t>
      </w:r>
    </w:p>
    <w:p>
      <w:pPr>
        <w:pStyle w:val="TextBody"/>
        <w:bidi w:val="0"/>
        <w:jc w:val="left"/>
        <w:rPr>
          <w:rFonts w:ascii="Times New Roman" w:hAnsi="Times New Roman"/>
          <w:color w:val="000000"/>
          <w:sz w:val="20"/>
        </w:rPr>
      </w:pPr>
      <w:r>
        <w:rPr>
          <w:rFonts w:ascii="Times New Roman" w:hAnsi="Times New Roman"/>
          <w:color w:val="000000"/>
          <w:sz w:val="20"/>
        </w:rPr>
        <w:t>Address for Notice to Purchaser (and delivery of Warrants):</w:t>
      </w:r>
    </w:p>
    <w:p>
      <w:pPr>
        <w:pStyle w:val="TextBody"/>
        <w:bidi w:val="0"/>
        <w:jc w:val="left"/>
        <w:rPr>
          <w:rFonts w:ascii="Times New Roman" w:hAnsi="Times New Roman"/>
          <w:color w:val="000000"/>
          <w:sz w:val="20"/>
        </w:rPr>
      </w:pPr>
      <w:r>
        <w:rPr>
          <w:rFonts w:ascii="Times New Roman" w:hAnsi="Times New Roman"/>
          <w:color w:val="000000"/>
          <w:sz w:val="20"/>
        </w:rPr>
        <w:t>Address for Delivery of Applicable Securities to Purchaser (if not same as address for notice):</w:t>
      </w:r>
    </w:p>
    <w:p>
      <w:pPr>
        <w:pStyle w:val="TextBody"/>
        <w:bidi w:val="0"/>
        <w:jc w:val="left"/>
        <w:rPr>
          <w:rFonts w:ascii="Times New Roman" w:hAnsi="Times New Roman"/>
          <w:sz w:val="20"/>
        </w:rPr>
      </w:pPr>
      <w:r>
        <w:rPr>
          <w:rFonts w:ascii="Times New Roman" w:hAnsi="Times New Roman"/>
          <w:color w:val="000000"/>
          <w:sz w:val="20"/>
        </w:rPr>
        <w:t>Subscription Amount: $</w:t>
      </w:r>
      <w:r>
        <w:rPr>
          <w:rFonts w:ascii="Times New Roman" w:hAnsi="Times New Roman"/>
          <w:color w:val="000000"/>
          <w:sz w:val="20"/>
          <w:u w:val="single"/>
        </w:rPr>
        <w:t>[***]</w:t>
      </w:r>
      <w:r>
        <w:rPr>
          <w:rFonts w:ascii="Times New Roman" w:hAnsi="Times New Roman"/>
          <w:color w:val="000000"/>
          <w:sz w:val="20"/>
        </w:rPr>
        <w:t>_________________</w:t>
      </w:r>
    </w:p>
    <w:p>
      <w:pPr>
        <w:pStyle w:val="TextBody"/>
        <w:bidi w:val="0"/>
        <w:jc w:val="left"/>
        <w:rPr>
          <w:rFonts w:ascii="Times New Roman" w:hAnsi="Times New Roman"/>
          <w:sz w:val="20"/>
        </w:rPr>
      </w:pPr>
      <w:r>
        <w:rPr>
          <w:rFonts w:ascii="Times New Roman" w:hAnsi="Times New Roman"/>
          <w:color w:val="000000"/>
          <w:sz w:val="20"/>
        </w:rPr>
        <w:t xml:space="preserve">Shares: (if applicable) </w:t>
      </w:r>
      <w:r>
        <w:rPr>
          <w:rFonts w:ascii="Times New Roman" w:hAnsi="Times New Roman"/>
          <w:color w:val="000000"/>
          <w:sz w:val="20"/>
          <w:u w:val="single"/>
        </w:rPr>
        <w:t>[***]</w:t>
      </w:r>
      <w:r>
        <w:rPr>
          <w:rFonts w:ascii="Times New Roman" w:hAnsi="Times New Roman"/>
          <w:color w:val="000000"/>
          <w:sz w:val="20"/>
        </w:rPr>
        <w:t>_________________</w:t>
      </w:r>
    </w:p>
    <w:p>
      <w:pPr>
        <w:pStyle w:val="TextBody"/>
        <w:bidi w:val="0"/>
        <w:jc w:val="left"/>
        <w:rPr>
          <w:rFonts w:ascii="Times New Roman" w:hAnsi="Times New Roman"/>
          <w:sz w:val="20"/>
        </w:rPr>
      </w:pPr>
      <w:r>
        <w:rPr>
          <w:rFonts w:ascii="Times New Roman" w:hAnsi="Times New Roman"/>
          <w:color w:val="000000"/>
          <w:sz w:val="20"/>
        </w:rPr>
        <w:t xml:space="preserve">Pre-Funded Warrants: (if applicable) </w:t>
      </w:r>
      <w:r>
        <w:rPr>
          <w:rFonts w:ascii="Times New Roman" w:hAnsi="Times New Roman"/>
          <w:color w:val="000000"/>
          <w:sz w:val="20"/>
          <w:u w:val="single"/>
        </w:rPr>
        <w:t>[***]</w:t>
      </w:r>
      <w:r>
        <w:rPr>
          <w:rFonts w:ascii="Times New Roman" w:hAnsi="Times New Roman"/>
          <w:color w:val="000000"/>
          <w:sz w:val="20"/>
        </w:rPr>
        <w:t>_________________</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EIN Number: </w:t>
      </w:r>
      <w:r>
        <w:rPr>
          <w:rFonts w:ascii="Times New Roman" w:hAnsi="Times New Roman"/>
          <w:color w:val="000000"/>
          <w:sz w:val="20"/>
          <w:u w:val="single"/>
        </w:rPr>
        <w:t>[***]</w:t>
      </w:r>
      <w:r>
        <w:rPr>
          <w:rFonts w:ascii="Times New Roman" w:hAnsi="Times New Roman"/>
          <w:color w:val="000000"/>
          <w:sz w:val="20"/>
        </w:rPr>
        <w:t>_______________________</w:t>
      </w:r>
    </w:p>
    <w:p>
      <w:pPr>
        <w:pStyle w:val="TextBody"/>
        <w:bidi w:val="0"/>
        <w:jc w:val="center"/>
        <w:rPr>
          <w:rFonts w:ascii="Times New Roman" w:hAnsi="Times New Roman"/>
          <w:color w:val="000000"/>
          <w:sz w:val="20"/>
        </w:rPr>
      </w:pPr>
      <w:r>
        <w:rPr>
          <w:rFonts w:ascii="Times New Roman" w:hAnsi="Times New Roman"/>
          <w:color w:val="000000"/>
          <w:sz w:val="20"/>
        </w:rPr>
        <w:t>[SIGNATURE PAGE TO SECURITIES PURCHASE AGREEMENT]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8" w:name="tcrt-ex10_2.htm"/>
      <w:bookmarkStart w:id="9" w:name="kstcrtex10_2"/>
      <w:bookmarkEnd w:id="8"/>
      <w:bookmarkEnd w:id="9"/>
      <w:r>
        <w:rPr>
          <w:rFonts w:ascii="Times New Roman" w:hAnsi="Times New Roman"/>
          <w:b/>
          <w:color w:val="000000"/>
          <w:sz w:val="20"/>
        </w:rPr>
        <w:t>Exhibit 10.2</w:t>
      </w:r>
      <w:r>
        <w:br w:type="page"/>
      </w:r>
    </w:p>
    <w:p>
      <w:pPr>
        <w:pStyle w:val="TextBody"/>
        <w:bidi w:val="0"/>
        <w:jc w:val="left"/>
        <w:rPr/>
      </w:pPr>
      <w:r>
        <w:rPr/>
        <w:t> </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PLACEMENT AGENCY AGREEMENT</w:t>
      </w:r>
    </w:p>
    <w:p>
      <w:pPr>
        <w:pStyle w:val="TextBody"/>
        <w:bidi w:val="0"/>
        <w:spacing w:before="0" w:after="20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Dawson James Securities, Inc. </w:t>
        <w:br/>
        <w:t>2700 N Military Trail, Suite 100</w:t>
        <w:br/>
        <w:t>Boca Raton, FL 33431</w:t>
      </w:r>
    </w:p>
    <w:p>
      <w:pPr>
        <w:pStyle w:val="TextBody"/>
        <w:bidi w:val="0"/>
        <w:spacing w:before="0" w:after="200"/>
        <w:jc w:val="right"/>
        <w:rPr>
          <w:rFonts w:ascii="Times New Roman" w:hAnsi="Times New Roman"/>
          <w:color w:val="000000"/>
          <w:sz w:val="20"/>
        </w:rPr>
      </w:pPr>
      <w:r>
        <w:rPr>
          <w:rFonts w:ascii="Times New Roman" w:hAnsi="Times New Roman"/>
          <w:color w:val="000000"/>
          <w:sz w:val="20"/>
        </w:rPr>
        <w:t>September 18, 2026</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200"/>
        <w:jc w:val="left"/>
        <w:rPr>
          <w:rFonts w:ascii="Times New Roman" w:hAnsi="Times New Roman"/>
          <w:sz w:val="20"/>
        </w:rPr>
      </w:pPr>
      <w:r>
        <w:rPr>
          <w:rFonts w:ascii="Times New Roman" w:hAnsi="Times New Roman"/>
          <w:color w:val="000000"/>
          <w:sz w:val="20"/>
        </w:rPr>
        <w:t>This letter (this “</w:t>
      </w:r>
      <w:r>
        <w:rPr>
          <w:rFonts w:ascii="Times New Roman" w:hAnsi="Times New Roman"/>
          <w:color w:val="000000"/>
          <w:sz w:val="20"/>
          <w:u w:val="single"/>
        </w:rPr>
        <w:t>Agreement</w:t>
      </w:r>
      <w:r>
        <w:rPr>
          <w:rFonts w:ascii="Times New Roman" w:hAnsi="Times New Roman"/>
          <w:color w:val="000000"/>
          <w:sz w:val="20"/>
        </w:rPr>
        <w:t>”) constitutes the agreement between Alaunos Therapeutics, Inc., a Delaware corporation (the “</w:t>
      </w:r>
      <w:r>
        <w:rPr>
          <w:rFonts w:ascii="Times New Roman" w:hAnsi="Times New Roman"/>
          <w:color w:val="000000"/>
          <w:sz w:val="20"/>
          <w:u w:val="single"/>
        </w:rPr>
        <w:t>Company</w:t>
      </w:r>
      <w:r>
        <w:rPr>
          <w:rFonts w:ascii="Times New Roman" w:hAnsi="Times New Roman"/>
          <w:color w:val="000000"/>
          <w:sz w:val="20"/>
        </w:rPr>
        <w:t>”), and Dawson James Securities, Inc. (“</w:t>
      </w:r>
      <w:r>
        <w:rPr>
          <w:rFonts w:ascii="Times New Roman" w:hAnsi="Times New Roman"/>
          <w:color w:val="000000"/>
          <w:sz w:val="20"/>
          <w:u w:val="single"/>
        </w:rPr>
        <w:t>Dawson</w:t>
      </w:r>
      <w:r>
        <w:rPr>
          <w:rFonts w:ascii="Times New Roman" w:hAnsi="Times New Roman"/>
          <w:color w:val="000000"/>
          <w:sz w:val="20"/>
        </w:rPr>
        <w:t>”) pursuant to which Dawson shall serve as the placement agent (the “</w:t>
      </w:r>
      <w:r>
        <w:rPr>
          <w:rFonts w:ascii="Times New Roman" w:hAnsi="Times New Roman"/>
          <w:color w:val="000000"/>
          <w:sz w:val="20"/>
          <w:u w:val="single"/>
        </w:rPr>
        <w:t>Placement Agent</w:t>
      </w:r>
      <w:r>
        <w:rPr>
          <w:rFonts w:ascii="Times New Roman" w:hAnsi="Times New Roman"/>
          <w:color w:val="000000"/>
          <w:sz w:val="20"/>
        </w:rPr>
        <w:t>”) (the “</w:t>
      </w:r>
      <w:r>
        <w:rPr>
          <w:rFonts w:ascii="Times New Roman" w:hAnsi="Times New Roman"/>
          <w:color w:val="000000"/>
          <w:sz w:val="20"/>
          <w:u w:val="single"/>
        </w:rPr>
        <w:t>Services</w:t>
      </w:r>
      <w:r>
        <w:rPr>
          <w:rFonts w:ascii="Times New Roman" w:hAnsi="Times New Roman"/>
          <w:color w:val="000000"/>
          <w:sz w:val="20"/>
        </w:rPr>
        <w:t>”), for the Company, on a reasonable “best efforts” basis, in connection with the proposed offer and placement (the “</w:t>
      </w:r>
      <w:r>
        <w:rPr>
          <w:rFonts w:ascii="Times New Roman" w:hAnsi="Times New Roman"/>
          <w:color w:val="000000"/>
          <w:sz w:val="20"/>
          <w:u w:val="single"/>
        </w:rPr>
        <w:t>Offering</w:t>
      </w:r>
      <w:r>
        <w:rPr>
          <w:rFonts w:ascii="Times New Roman" w:hAnsi="Times New Roman"/>
          <w:color w:val="000000"/>
          <w:sz w:val="20"/>
        </w:rPr>
        <w:t>”) by the Company of its Securities (as defined Section 3 of this Agreement). The Company expressly acknowledges and agrees that Dawson’s obligations hereunder are on a reasonable “best efforts” basis only and that the execution of this Agreement does not constitute a commitment by Dawson to purchase the Securities and does not ensure the successful placement of the Securities or any portion thereof or the success of Dawson placing the Securities. The terms of the Offering and the Securities shall be mutually agreed upon by the Company and the Purchasers and nothing herein grants the Placement Agent the power or authority to bind the Company or any Purchaser, or obligates the Company to issue any Securities or complete the Offering.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Appointment of Dawson James Securities, Inc. as Exclusive Placement Agent. </w:t>
      </w:r>
    </w:p>
    <w:p>
      <w:pPr>
        <w:pStyle w:val="TextBody"/>
        <w:bidi w:val="0"/>
        <w:spacing w:before="0" w:after="200"/>
        <w:jc w:val="left"/>
        <w:rPr>
          <w:rFonts w:ascii="Times New Roman" w:hAnsi="Times New Roman"/>
          <w:sz w:val="20"/>
        </w:rPr>
      </w:pPr>
      <w:r>
        <w:rPr>
          <w:rFonts w:ascii="Times New Roman" w:hAnsi="Times New Roman"/>
          <w:color w:val="000000"/>
          <w:sz w:val="20"/>
        </w:rPr>
        <w:t>On the basis of the representations, warranties, covenants and agreements of the Company herein contained, and subject to all the terms and conditions of this Agreement, the Company hereby appoints the Placement Agent as its exclusive placement agent in connection with a distribution of its Securities to be offered and sold by the Company pursuant to a registration statement filed under the Securities Act of 1933, as amended (the “</w:t>
      </w:r>
      <w:r>
        <w:rPr>
          <w:rFonts w:ascii="Times New Roman" w:hAnsi="Times New Roman"/>
          <w:color w:val="000000"/>
          <w:sz w:val="20"/>
          <w:u w:val="single"/>
        </w:rPr>
        <w:t>Securities Act</w:t>
      </w:r>
      <w:r>
        <w:rPr>
          <w:rFonts w:ascii="Times New Roman" w:hAnsi="Times New Roman"/>
          <w:color w:val="000000"/>
          <w:sz w:val="20"/>
        </w:rPr>
        <w:t>”) on Form S-3 (File No. 333-289748), and Dawson agrees to act as the Company’s exclusive Placement Agent. Pursuant to this appointment, the Placement Agent will solicit offers for the purchase of or attempt to place all or part of the Securities of the Company in the proposed Offering. Until the final closing or earlier upon termination of this Agreement pursuant to Section 5 hereof, the Company shall not, without the prior written consent of the Placement Agent, solicit or accept offers to purchase the Securities other than through the Placement Agent. The Company acknowledges that the Placement Agent will act as an agent of the Company and use its reasonable “best efforts” to solicit offers to purchase the Securities from the Company on the terms, and subject to the conditions, set forth in the Prospectus (as defined below). The Placement Agent shall use commercially reasonable efforts to assist the Company in obtaining performance by each Purchaser whose offer to purchase Securities has been solicited by the Placement Agent, but the Placement Agent shall not, except as otherwise provided in this Agreement, be obligated to disclose the identity of any potential purchaser or have any liability to the Company in the event any such purchase is not consummated for any reason. Under no circumstances will the Placement Agent be obligated to underwrite or purchase any Securities for its own account and, in soliciting purchases of the Securities, the Placement Agent shall act solely as an agent of the Company. The Services provided pursuant to this Agreement shall be on an “agency” basis and not on a “principal” basis.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Placement Agent will solicit offers for the purchase of the Securities in the Offering at such times and in such amounts as the Placement Agent deems advisable. The Company shall have the sole right to accept offers to purchase Securities and may reject any such offer, in whole or in part. The Placement Agent may retain other brokers or dealers to act as sub-agents on its behalf in connection with the Offering and may pay any sub-agent a solicitation fee with respect to any Securities placed by it. The Company and Placement Agent shall negotiate the timing and terms of the Offering and acknowledge that the Offering and the provision of Placement Agent services related to the Offering are subject to market conditions and the receipt of all required related clearances and approvals.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Fees; Expenses; Other Arrangements.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sz w:val="20"/>
        </w:rPr>
      </w:pPr>
      <w:r>
        <w:rPr>
          <w:rFonts w:ascii="Times New Roman" w:hAnsi="Times New Roman"/>
          <w:color w:val="000000"/>
          <w:sz w:val="20"/>
          <w:u w:val="single"/>
        </w:rPr>
        <w:t>Placement Agent’s Fee</w:t>
      </w:r>
      <w:r>
        <w:rPr>
          <w:rFonts w:ascii="Times New Roman" w:hAnsi="Times New Roman"/>
          <w:color w:val="000000"/>
          <w:sz w:val="20"/>
        </w:rPr>
        <w:t>. As compensation for services rendered, the Company shall pay to the Placement Agent in cash by wire transfer in immediately available funds to an account or accounts designated by the Placement Agent an amount (the “</w:t>
      </w:r>
      <w:r>
        <w:rPr>
          <w:rFonts w:ascii="Times New Roman" w:hAnsi="Times New Roman"/>
          <w:color w:val="000000"/>
          <w:sz w:val="20"/>
          <w:u w:val="single"/>
        </w:rPr>
        <w:t>Placement Fee</w:t>
      </w:r>
      <w:r>
        <w:rPr>
          <w:rFonts w:ascii="Times New Roman" w:hAnsi="Times New Roman"/>
          <w:color w:val="000000"/>
          <w:sz w:val="20"/>
        </w:rPr>
        <w:t>”) equal to eight percent (8.0%) of the aggregate gross proceeds received by the Company from the sale of the Securities at the closing (the “</w:t>
      </w:r>
      <w:r>
        <w:rPr>
          <w:rFonts w:ascii="Times New Roman" w:hAnsi="Times New Roman"/>
          <w:color w:val="000000"/>
          <w:sz w:val="20"/>
          <w:u w:val="single"/>
        </w:rPr>
        <w:t>Closing</w:t>
      </w:r>
      <w:r>
        <w:rPr>
          <w:rFonts w:ascii="Times New Roman" w:hAnsi="Times New Roman"/>
          <w:color w:val="000000"/>
          <w:sz w:val="20"/>
        </w:rPr>
        <w:t>” and the date on which the Closing occurs, the “</w:t>
      </w:r>
      <w:r>
        <w:rPr>
          <w:rFonts w:ascii="Times New Roman" w:hAnsi="Times New Roman"/>
          <w:color w:val="000000"/>
          <w:sz w:val="20"/>
          <w:u w:val="single"/>
        </w:rPr>
        <w:t>Closing Date</w:t>
      </w:r>
      <w:r>
        <w:rPr>
          <w:rFonts w:ascii="Times New Roman" w:hAnsi="Times New Roman"/>
          <w:color w:val="000000"/>
          <w:sz w:val="20"/>
        </w:rPr>
        <w:t>”). The Placement Agent may deduct from the net proceeds of the Offering payable to the Company on the Closing Date the Placement Fee set forth herein to be paid by the Company to the Placement Agent.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sz w:val="20"/>
        </w:rPr>
      </w:pPr>
      <w:r>
        <w:rPr>
          <w:rFonts w:ascii="Times New Roman" w:hAnsi="Times New Roman"/>
          <w:color w:val="000000"/>
          <w:sz w:val="20"/>
          <w:u w:val="single"/>
        </w:rPr>
        <w:t>Offering Expenses</w:t>
      </w:r>
      <w:r>
        <w:rPr>
          <w:rFonts w:ascii="Times New Roman" w:hAnsi="Times New Roman"/>
          <w:color w:val="000000"/>
          <w:sz w:val="20"/>
        </w:rPr>
        <w:t>. The Company will be responsible for and will pay all expenses relating to the Offering, including, without limitation, (a) all filing fees and expenses relating to the registration of the Securities with the Commission; (b) all FINRA Public Offering filing fees; (c) all fees and expenses relating to the listing of the Company’s common stock on the national stock exchange on which it is listed; (d) all fees, expenses and disbursements relating to the registration or qualification of the Securities under the “blue sky” securities laws of such states and other jurisdictions as Dawson may reasonably designate (including, without limitation, all filing and registration fees, and the reasonable fees and disbursements of “blue sky” counsel, which will be Dawson’s counsel it being agreed that such fees and expenses of such counsel for such “blue sky” work will be $10,000); (e) all fees, expenses and disbursements relating to the registration, qualification or exemption of the Securities under the securities laws of such foreign jurisdictions as Dawson may reasonably designate; (f) the costs of all mailing and printing of the Offering documents; (g) transfer and/or stamp taxes, if any, payable upon the transfer of Securities from the Company to the Investors; and (h) the fees and expenses of the Company’s accountants; and (i) “road show” expenses, diligence expenses and legal fees of Dawson’s counsel not to exceed in the aggregate $40,000. The Placement Agent may deduct from the net proceeds of the Offering payable to the Company on the Closing Date the expenses set forth herein to be paid by the Company to the Placement Agent, provided, however, that in the event that the Offering is terminated, the Company agrees to reimburse the Placement Agent to the extent required by Section 5 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Description of the Offering. </w:t>
      </w:r>
    </w:p>
    <w:p>
      <w:pPr>
        <w:pStyle w:val="TextBody"/>
        <w:bidi w:val="0"/>
        <w:spacing w:before="0" w:after="200"/>
        <w:jc w:val="left"/>
        <w:rPr>
          <w:rFonts w:ascii="Times New Roman" w:hAnsi="Times New Roman"/>
          <w:sz w:val="20"/>
        </w:rPr>
      </w:pPr>
      <w:r>
        <w:rPr>
          <w:rFonts w:ascii="Times New Roman" w:hAnsi="Times New Roman"/>
          <w:color w:val="000000"/>
          <w:sz w:val="20"/>
        </w:rPr>
        <w:t>The Securities to be offered directly to various investors (each, an “</w:t>
      </w:r>
      <w:r>
        <w:rPr>
          <w:rFonts w:ascii="Times New Roman" w:hAnsi="Times New Roman"/>
          <w:color w:val="000000"/>
          <w:sz w:val="20"/>
          <w:u w:val="single"/>
        </w:rPr>
        <w:t>Investor</w:t>
      </w:r>
      <w:r>
        <w:rPr>
          <w:rFonts w:ascii="Times New Roman" w:hAnsi="Times New Roman"/>
          <w:color w:val="000000"/>
          <w:sz w:val="20"/>
        </w:rPr>
        <w:t>” or “</w:t>
      </w:r>
      <w:r>
        <w:rPr>
          <w:rFonts w:ascii="Times New Roman" w:hAnsi="Times New Roman"/>
          <w:color w:val="000000"/>
          <w:sz w:val="20"/>
          <w:u w:val="single"/>
        </w:rPr>
        <w:t>Purchaser</w:t>
      </w:r>
      <w:r>
        <w:rPr>
          <w:rFonts w:ascii="Times New Roman" w:hAnsi="Times New Roman"/>
          <w:color w:val="000000"/>
          <w:sz w:val="20"/>
        </w:rPr>
        <w:t>” and, collectively, the “</w:t>
      </w:r>
      <w:r>
        <w:rPr>
          <w:rFonts w:ascii="Times New Roman" w:hAnsi="Times New Roman"/>
          <w:color w:val="000000"/>
          <w:sz w:val="20"/>
          <w:u w:val="single"/>
        </w:rPr>
        <w:t>Investors</w:t>
      </w:r>
      <w:r>
        <w:rPr>
          <w:rFonts w:ascii="Times New Roman" w:hAnsi="Times New Roman"/>
          <w:color w:val="000000"/>
          <w:sz w:val="20"/>
        </w:rPr>
        <w:t>” or the “</w:t>
      </w:r>
      <w:r>
        <w:rPr>
          <w:rFonts w:ascii="Times New Roman" w:hAnsi="Times New Roman"/>
          <w:color w:val="000000"/>
          <w:sz w:val="20"/>
          <w:u w:val="single"/>
        </w:rPr>
        <w:t>Purchasers</w:t>
      </w:r>
      <w:r>
        <w:rPr>
          <w:rFonts w:ascii="Times New Roman" w:hAnsi="Times New Roman"/>
          <w:color w:val="000000"/>
          <w:sz w:val="20"/>
        </w:rPr>
        <w:t>”) in the Offering shall consist of shares of the Company’s common stock (“</w:t>
      </w:r>
      <w:r>
        <w:rPr>
          <w:rFonts w:ascii="Times New Roman" w:hAnsi="Times New Roman"/>
          <w:color w:val="000000"/>
          <w:sz w:val="20"/>
          <w:u w:val="single"/>
        </w:rPr>
        <w:t>Common Stock</w:t>
      </w:r>
      <w:r>
        <w:rPr>
          <w:rFonts w:ascii="Times New Roman" w:hAnsi="Times New Roman"/>
          <w:color w:val="000000"/>
          <w:sz w:val="20"/>
        </w:rPr>
        <w:t>” or “</w:t>
      </w:r>
      <w:r>
        <w:rPr>
          <w:rFonts w:ascii="Times New Roman" w:hAnsi="Times New Roman"/>
          <w:color w:val="000000"/>
          <w:sz w:val="20"/>
          <w:u w:val="single"/>
        </w:rPr>
        <w:t>Shares</w:t>
      </w:r>
      <w:r>
        <w:rPr>
          <w:rFonts w:ascii="Times New Roman" w:hAnsi="Times New Roman"/>
          <w:color w:val="000000"/>
          <w:sz w:val="20"/>
        </w:rPr>
        <w:t>”) and/or pre-funded warrants, each exercisable to purchase one Share (“</w:t>
      </w:r>
      <w:r>
        <w:rPr>
          <w:rFonts w:ascii="Times New Roman" w:hAnsi="Times New Roman"/>
          <w:color w:val="000000"/>
          <w:sz w:val="20"/>
          <w:u w:val="single"/>
        </w:rPr>
        <w:t>Pre-Funded Warrants</w:t>
      </w:r>
      <w:r>
        <w:rPr>
          <w:rFonts w:ascii="Times New Roman" w:hAnsi="Times New Roman"/>
          <w:color w:val="000000"/>
          <w:sz w:val="20"/>
        </w:rPr>
        <w:t>” and, together with the Shares, the “</w:t>
      </w:r>
      <w:r>
        <w:rPr>
          <w:rFonts w:ascii="Times New Roman" w:hAnsi="Times New Roman"/>
          <w:color w:val="000000"/>
          <w:sz w:val="20"/>
          <w:u w:val="single"/>
        </w:rPr>
        <w:t>Securities</w:t>
      </w:r>
      <w:r>
        <w:rPr>
          <w:rFonts w:ascii="Times New Roman" w:hAnsi="Times New Roman"/>
          <w:color w:val="000000"/>
          <w:sz w:val="20"/>
        </w:rPr>
        <w:t>”). The purchase price for one Share shall be $1.46 and the purchase price for one Pre-Funded Warrant in lieu of a Share shall be $1.459 (each, the “</w:t>
      </w:r>
      <w:r>
        <w:rPr>
          <w:rFonts w:ascii="Times New Roman" w:hAnsi="Times New Roman"/>
          <w:color w:val="000000"/>
          <w:sz w:val="20"/>
          <w:u w:val="single"/>
        </w:rPr>
        <w:t>Purchase Price</w:t>
      </w:r>
      <w:r>
        <w:rPr>
          <w:rFonts w:ascii="Times New Roman" w:hAnsi="Times New Roman"/>
          <w:color w:val="000000"/>
          <w:sz w:val="20"/>
        </w:rPr>
        <w:t>”). If the Company shall default in its obligations to deliver Securities to a Purchaser whose offer it has accepted and who has tendered payment, the Company shall indemnify and hold the Placement Agent harmless against any loss, claim, damage or expense arising from or as a result of such default by the Company under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Delivery and Payment; Closing.</w:t>
      </w:r>
    </w:p>
    <w:p>
      <w:pPr>
        <w:pStyle w:val="TextBody"/>
        <w:bidi w:val="0"/>
        <w:spacing w:before="0" w:after="200"/>
        <w:jc w:val="left"/>
        <w:rPr>
          <w:rFonts w:ascii="Times New Roman" w:hAnsi="Times New Roman"/>
          <w:sz w:val="20"/>
        </w:rPr>
      </w:pPr>
      <w:r>
        <w:rPr>
          <w:rFonts w:ascii="Times New Roman" w:hAnsi="Times New Roman"/>
          <w:color w:val="000000"/>
          <w:sz w:val="20"/>
        </w:rPr>
        <w:t>Unless otherwise agreed in writing by the Placement Agent and the Company, settlement of the Securities purchased by an Investor shall be made by 5:00 p.m. on the Closing Date by wire transfer from the Placement Agent in federal (same day) funds, payable to the order of the Company after electronic delivery of the Shares via the DWAC system (or such other method agreed to by the parties) in accordance with the Placement Agent’s instructions as requested in writing prior to the Closing Date. The term “</w:t>
      </w:r>
      <w:r>
        <w:rPr>
          <w:rFonts w:ascii="Times New Roman" w:hAnsi="Times New Roman"/>
          <w:color w:val="000000"/>
          <w:sz w:val="20"/>
          <w:u w:val="single"/>
        </w:rPr>
        <w:t>Business Day</w:t>
      </w:r>
      <w:r>
        <w:rPr>
          <w:rFonts w:ascii="Times New Roman" w:hAnsi="Times New Roman"/>
          <w:color w:val="000000"/>
          <w:sz w:val="20"/>
        </w:rPr>
        <w:t>” means any day other than a Saturday, a Sunday or a legal holiday or a day on which banking institutions are authorized or obligated by law to close in New York, New York.</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Closing shall occur at such place as shall be agreed upon by the Placement Agent and the Company. In the absence of an agreement to the contrary, each Closing shall take place at the offices of ArentFox Schiff LLP, 1717 K Street NW, Washington, DC 20006. Deliveries of the documents with respect to the purchase of the Securities, if any, shall be made at the offices of ArentFox Schiff LLP, 1717 K Street NW, Washington, DC 20006 on the Closing Date. All actions taken at a Closing shall be deemed to have occurred simultaneously.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Term and Termination of Agreement.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term of this Agreement will commence upon the execution of this Agreement and will terminate at the earlier of the Closing of the Offering or 11:59 p.m. (New York Time) on the fifth Business Day after the date hereof. Notwithstanding anything to the contrary contained herein, any provision in this Agreement concerning or relating to confidentiality, indemnification, contribution, advancement, the Company’s representations and warranties and the Company’s obligations to pay fees and reimburse expenses will survive any expiration or termination of this Agreement. If any condition specified in Section 8 is not satisfied when and as required to be satisfied, this Agreement may be terminated by the Placement Agent by notice to the Company at any time on or prior to a Closing Date, which termination shall be without liability on the part of any party to any other party, except that those portions of this Agreement specified in Section 19 shall at all times be effective and shall survive such termination. Notwithstanding anything to the contrary in this Agreement, in the event that this Agreement shall not be carried out for any reason whatsoever, within the time specified herein or any extensions thereof pursuant to the terms herein, the Company shall be obligated to pay to the Placement Agent the expenses provided for in Section 2.B. above and upon demand the Company shall pay the full amount thereof to the Placement Agent. Notwithstanding the forgoing, if this Agreement is terminated for cause, no fee shall be payable by the Company under this Section 5 and the Company shall have no obligation under this Section 5, as provided in FINRA Rule 5110(g)(5)(B).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Permitted Acts.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Nothing in this Agreement shall be construed to limit the ability of the Placement Agent, its officers, directors, employees, agents, associated persons and any individual or entity “controlling,” controlled by,” or “under common control” with the Placement Agent (as those terms are defined in Rule 405 under the Securities Act) to conduct its business including without limitation the ability to pursue, investigate, analyze, invest in, or engage in investment banking, financial advisory or any other business relationship with any individual or corporation, partnership, trust, incorporated or unincorporated association, joint venture, limited liability company, joint stock company, government (or an agency or subdivision thereof) or other entity of any kind.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Representations, Warranties and Covenants of the Company.</w:t>
      </w:r>
    </w:p>
    <w:p>
      <w:pPr>
        <w:pStyle w:val="TextBody"/>
        <w:bidi w:val="0"/>
        <w:spacing w:before="0" w:after="200"/>
        <w:jc w:val="left"/>
        <w:rPr>
          <w:rFonts w:ascii="Times New Roman" w:hAnsi="Times New Roman"/>
          <w:sz w:val="20"/>
        </w:rPr>
      </w:pPr>
      <w:r>
        <w:rPr>
          <w:rFonts w:ascii="Times New Roman" w:hAnsi="Times New Roman"/>
          <w:color w:val="000000"/>
          <w:sz w:val="20"/>
        </w:rPr>
        <w:t>As of the date and time of the execution of this Agreement, the Closing Date and the Initial Sale Time (as defined herein), the Company represents, warrants and covenants to the Placement Agent, other than as disclosed in any of its filings with the Securities and Exchange Commission (the “</w:t>
      </w:r>
      <w:r>
        <w:rPr>
          <w:rFonts w:ascii="Times New Roman" w:hAnsi="Times New Roman"/>
          <w:color w:val="000000"/>
          <w:sz w:val="20"/>
          <w:u w:val="single"/>
        </w:rPr>
        <w:t>Commission</w:t>
      </w:r>
      <w:r>
        <w:rPr>
          <w:rFonts w:ascii="Times New Roman" w:hAnsi="Times New Roman"/>
          <w:color w:val="000000"/>
          <w:sz w:val="20"/>
        </w:rPr>
        <w:t>”),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sz w:val="20"/>
        </w:rPr>
      </w:pPr>
      <w:r>
        <w:rPr>
          <w:rFonts w:ascii="Times New Roman" w:hAnsi="Times New Roman"/>
          <w:color w:val="000000"/>
          <w:sz w:val="20"/>
          <w:u w:val="single"/>
        </w:rPr>
        <w:t>Registration Matters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sz w:val="20"/>
        </w:rPr>
      </w:pPr>
      <w:r>
        <w:rPr>
          <w:rFonts w:ascii="Times New Roman" w:hAnsi="Times New Roman"/>
          <w:color w:val="000000"/>
          <w:sz w:val="20"/>
        </w:rPr>
        <w:t>The Company has filed with the Commission a registration statement on Form S-3 (File No. 333-289748) including a related prospectus, for the registration of certain securities (the “</w:t>
      </w:r>
      <w:r>
        <w:rPr>
          <w:rFonts w:ascii="Times New Roman" w:hAnsi="Times New Roman"/>
          <w:color w:val="000000"/>
          <w:sz w:val="20"/>
          <w:u w:val="single"/>
        </w:rPr>
        <w:t>Shelf Securities</w:t>
      </w:r>
      <w:r>
        <w:rPr>
          <w:rFonts w:ascii="Times New Roman" w:hAnsi="Times New Roman"/>
          <w:color w:val="000000"/>
          <w:sz w:val="20"/>
        </w:rPr>
        <w:t>”), including the Common Stock and the Pre-Funded Warrants, under the Securities Act and the rules and regulations thereunder (the “</w:t>
      </w:r>
      <w:r>
        <w:rPr>
          <w:rFonts w:ascii="Times New Roman" w:hAnsi="Times New Roman"/>
          <w:color w:val="000000"/>
          <w:sz w:val="20"/>
          <w:u w:val="single"/>
        </w:rPr>
        <w:t>Securities Act Regulations</w:t>
      </w:r>
      <w:r>
        <w:rPr>
          <w:rFonts w:ascii="Times New Roman" w:hAnsi="Times New Roman"/>
          <w:color w:val="000000"/>
          <w:sz w:val="20"/>
        </w:rPr>
        <w:t>”). The registration statement became effective under Section 8(a) of the Securities Act on November 27, 2025. The “</w:t>
      </w:r>
      <w:r>
        <w:rPr>
          <w:rFonts w:ascii="Times New Roman" w:hAnsi="Times New Roman"/>
          <w:color w:val="000000"/>
          <w:sz w:val="20"/>
          <w:u w:val="single"/>
        </w:rPr>
        <w:t>Registration Statement</w:t>
      </w:r>
      <w:r>
        <w:rPr>
          <w:rFonts w:ascii="Times New Roman" w:hAnsi="Times New Roman"/>
          <w:color w:val="000000"/>
          <w:sz w:val="20"/>
        </w:rPr>
        <w:t>,” as of any time, means such registration statement as amended by any post-effective amendments thereto to such time, including the exhibits and any schedules thereto at such time, the documents incorporated or deemed to be incorporated by reference therein at such time pursuant to Form S-3 under the Securities Act and the documents otherwise deemed to be a part thereof as of such time pursuant to Rule 430A (“</w:t>
      </w:r>
      <w:r>
        <w:rPr>
          <w:rFonts w:ascii="Times New Roman" w:hAnsi="Times New Roman"/>
          <w:color w:val="000000"/>
          <w:sz w:val="20"/>
          <w:u w:val="single"/>
        </w:rPr>
        <w:t>Rule 430A</w:t>
      </w:r>
      <w:r>
        <w:rPr>
          <w:rFonts w:ascii="Times New Roman" w:hAnsi="Times New Roman"/>
          <w:color w:val="000000"/>
          <w:sz w:val="20"/>
        </w:rPr>
        <w:t>”) or Rule 430B under the Securities Act Regulations (“</w:t>
      </w:r>
      <w:r>
        <w:rPr>
          <w:rFonts w:ascii="Times New Roman" w:hAnsi="Times New Roman"/>
          <w:color w:val="000000"/>
          <w:sz w:val="20"/>
          <w:u w:val="single"/>
        </w:rPr>
        <w:t>Rule 430B</w:t>
      </w:r>
      <w:r>
        <w:rPr>
          <w:rFonts w:ascii="Times New Roman" w:hAnsi="Times New Roman"/>
          <w:color w:val="000000"/>
          <w:sz w:val="20"/>
        </w:rPr>
        <w:t xml:space="preserve">”); </w:t>
      </w:r>
      <w:r>
        <w:rPr>
          <w:rFonts w:ascii="Times New Roman" w:hAnsi="Times New Roman"/>
          <w:i/>
          <w:color w:val="000000"/>
          <w:sz w:val="20"/>
        </w:rPr>
        <w:t>provided, however, that</w:t>
      </w:r>
      <w:r>
        <w:rPr>
          <w:rFonts w:ascii="Times New Roman" w:hAnsi="Times New Roman"/>
          <w:color w:val="000000"/>
          <w:sz w:val="20"/>
        </w:rPr>
        <w:t xml:space="preserve"> the “Registration Statement”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Form S-3 under the Securities Act and the documents otherwise deemed to be a part thereof as of such time pursuant to Rule 430A or Rule 430B. Any registration statement filed pursuant to Rule 462(b) of the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Securities Act Regulations is hereinafter called the “Rule 462(b) Registration Statement,” and after such filing the term “Registration Statement” shall include the Rule 462(b) Registration Statement. The prospectus covering the Shelf Securities in the form first used to confirm sales of the Shares (or in the form first made available to the Placement Agent by the Company to meet requests of purchasers pursuant to Rule 173 under the Securities Act) is hereinafter referred to as the “</w:t>
      </w:r>
      <w:r>
        <w:rPr>
          <w:rFonts w:ascii="Times New Roman" w:hAnsi="Times New Roman"/>
          <w:color w:val="000000"/>
          <w:sz w:val="20"/>
          <w:u w:val="single"/>
        </w:rPr>
        <w:t>Base Prospectus</w:t>
      </w:r>
      <w:r>
        <w:rPr>
          <w:rFonts w:ascii="Times New Roman" w:hAnsi="Times New Roman"/>
          <w:color w:val="000000"/>
          <w:sz w:val="20"/>
        </w:rPr>
        <w:t>.” The Base Prospectus, as supplemented by the prospectus supplement specifically related to the Shares in the form first used to confirm sales of the Shares (or in the form first made available to the Placement Agent by the Company to meet requests of purchasers pursuant to Rule 173 under the Securities Act), is hereinafter referred to, collectively, as the “</w:t>
      </w:r>
      <w:r>
        <w:rPr>
          <w:rFonts w:ascii="Times New Roman" w:hAnsi="Times New Roman"/>
          <w:color w:val="000000"/>
          <w:sz w:val="20"/>
          <w:u w:val="single"/>
        </w:rPr>
        <w:t>Prospectus</w:t>
      </w:r>
      <w:r>
        <w:rPr>
          <w:rFonts w:ascii="Times New Roman" w:hAnsi="Times New Roman"/>
          <w:color w:val="000000"/>
          <w:sz w:val="20"/>
        </w:rPr>
        <w:t>,” and the term “</w:t>
      </w:r>
      <w:r>
        <w:rPr>
          <w:rFonts w:ascii="Times New Roman" w:hAnsi="Times New Roman"/>
          <w:color w:val="000000"/>
          <w:sz w:val="20"/>
          <w:u w:val="single"/>
        </w:rPr>
        <w:t>Preliminary Prospectus</w:t>
      </w:r>
      <w:r>
        <w:rPr>
          <w:rFonts w:ascii="Times New Roman" w:hAnsi="Times New Roman"/>
          <w:color w:val="000000"/>
          <w:sz w:val="20"/>
        </w:rPr>
        <w:t xml:space="preserve">” means any preliminary form of the Prospectus, including any preliminary prospectus supplement specifically related to the Securities filed with the Commission by the Company with the consent of the Placement Agent.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rFonts w:ascii="Times New Roman" w:hAnsi="Times New Roman"/>
          <w:sz w:val="20"/>
        </w:rPr>
      </w:pPr>
      <w:r>
        <w:rPr>
          <w:rFonts w:ascii="Times New Roman" w:hAnsi="Times New Roman"/>
          <w:color w:val="000000"/>
          <w:sz w:val="20"/>
        </w:rPr>
        <w:t>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such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Securities Exchange Act of 1934, as amended (the “</w:t>
      </w:r>
      <w:r>
        <w:rPr>
          <w:rFonts w:ascii="Times New Roman" w:hAnsi="Times New Roman"/>
          <w:color w:val="000000"/>
          <w:sz w:val="20"/>
          <w:u w:val="single"/>
        </w:rPr>
        <w:t>Exchange Act</w:t>
      </w:r>
      <w:r>
        <w:rPr>
          <w:rFonts w:ascii="Times New Roman" w:hAnsi="Times New Roman"/>
          <w:color w:val="000000"/>
          <w:sz w:val="20"/>
        </w:rPr>
        <w:t>”), and the rules and regulations thereunder (the “</w:t>
      </w:r>
      <w:r>
        <w:rPr>
          <w:rFonts w:ascii="Times New Roman" w:hAnsi="Times New Roman"/>
          <w:color w:val="000000"/>
          <w:sz w:val="20"/>
          <w:u w:val="single"/>
        </w:rPr>
        <w:t>Exchange Act Regulations</w:t>
      </w:r>
      <w:r>
        <w:rPr>
          <w:rFonts w:ascii="Times New Roman" w:hAnsi="Times New Roman"/>
          <w:color w:val="000000"/>
          <w:sz w:val="20"/>
        </w:rPr>
        <w:t>”), incorporated or deemed to be incorporated by reference in the Registration Statement, such Preliminary Prospectus or the Prospectus, as the case may be, at or after the execution and delivery of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left"/>
        <w:rPr>
          <w:rFonts w:ascii="Times New Roman" w:hAnsi="Times New Roman"/>
          <w:sz w:val="20"/>
        </w:rPr>
      </w:pPr>
      <w:r>
        <w:rPr>
          <w:rFonts w:ascii="Times New Roman" w:hAnsi="Times New Roman"/>
          <w:color w:val="000000"/>
          <w:sz w:val="20"/>
        </w:rPr>
        <w:t>The term “</w:t>
      </w:r>
      <w:r>
        <w:rPr>
          <w:rFonts w:ascii="Times New Roman" w:hAnsi="Times New Roman"/>
          <w:color w:val="000000"/>
          <w:sz w:val="20"/>
          <w:u w:val="single"/>
        </w:rPr>
        <w:t>Disclosure Package</w:t>
      </w:r>
      <w:r>
        <w:rPr>
          <w:rFonts w:ascii="Times New Roman" w:hAnsi="Times New Roman"/>
          <w:color w:val="000000"/>
          <w:sz w:val="20"/>
        </w:rPr>
        <w:t xml:space="preserve">” means (i) the Preliminary Prospectus, as most recently amended or supplemented immediately prior to the Initial Sale Time (as defined herein), and (ii) the Issuer Free Writing Prospectuses (as defined below), if any, identified in Schedule I hereto.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left"/>
        <w:rPr>
          <w:rFonts w:ascii="Times New Roman" w:hAnsi="Times New Roman"/>
          <w:sz w:val="20"/>
        </w:rPr>
      </w:pPr>
      <w:r>
        <w:rPr>
          <w:rFonts w:ascii="Times New Roman" w:hAnsi="Times New Roman"/>
          <w:color w:val="000000"/>
          <w:sz w:val="20"/>
        </w:rPr>
        <w:t>The term “</w:t>
      </w:r>
      <w:r>
        <w:rPr>
          <w:rFonts w:ascii="Times New Roman" w:hAnsi="Times New Roman"/>
          <w:color w:val="000000"/>
          <w:sz w:val="20"/>
          <w:u w:val="single"/>
        </w:rPr>
        <w:t>Issuer Free Writing Prospectus</w:t>
      </w:r>
      <w:r>
        <w:rPr>
          <w:rFonts w:ascii="Times New Roman" w:hAnsi="Times New Roman"/>
          <w:color w:val="000000"/>
          <w:sz w:val="20"/>
        </w:rPr>
        <w:t>” means any issuer free writing prospectus, as defined in Rule 433 of the Securities Act Regulations. The term “</w:t>
      </w:r>
      <w:r>
        <w:rPr>
          <w:rFonts w:ascii="Times New Roman" w:hAnsi="Times New Roman"/>
          <w:color w:val="000000"/>
          <w:sz w:val="20"/>
          <w:u w:val="single"/>
        </w:rPr>
        <w:t>Free Writing Prospectus</w:t>
      </w:r>
      <w:r>
        <w:rPr>
          <w:rFonts w:ascii="Times New Roman" w:hAnsi="Times New Roman"/>
          <w:color w:val="000000"/>
          <w:sz w:val="20"/>
        </w:rPr>
        <w:t>” means any free writing prospectus, as defined in Rule 405 of the Securities Act Regulations.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Preliminary Prospectus when filed with the Commission, and the Registration Statement as of each effective date and as of the date hereof, complied or will comply, and the Prospectus and any further amendments or supplements to the Registration Statement, any Preliminary Prospectus or the Prospectus will, when they become effective or are filed with the Commission, as the case may be, comply, in all material respects, with the requirements of the Securities Act and the Securities Act Regulations; and the documents incorporated by reference in the Registration Statement, any Preliminary Prospectus or the Prospectus complied, and any further documents so incorporated will comply, when filed with the Commission, in all material respects to the requirements of the Exchange Act and Exchange Act Regulations.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issuance by the Company of the Securities has been registered under the Securities Act. The Securities will be issued pursuant to the Registration Statement and each of the Securities will be freely transferable and freely tradable by each of the Investors without restriction, unless otherwise restricted by applicable law or regulation. The Company is eligible to use Form S-3 under the Securities Act and it meets the transaction requirements with respect to the aggregate market value of the Shares being sold pursuant to this offering and during the twelve (12) months prior to this offering, as set forth in General Instruction I.B.6 of Form S-3.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sz w:val="20"/>
        </w:rPr>
      </w:pPr>
      <w:r>
        <w:rPr>
          <w:rFonts w:ascii="Times New Roman" w:hAnsi="Times New Roman"/>
          <w:color w:val="000000"/>
          <w:sz w:val="20"/>
          <w:u w:val="single"/>
        </w:rPr>
        <w:t>Stock Exchange Listing</w:t>
      </w:r>
      <w:r>
        <w:rPr>
          <w:rFonts w:ascii="Times New Roman" w:hAnsi="Times New Roman"/>
          <w:color w:val="000000"/>
          <w:sz w:val="20"/>
        </w:rPr>
        <w:t>. The Common Stock is listed on The Nasdaq Capital Market under the symbol “TCRT” (the “</w:t>
      </w:r>
      <w:r>
        <w:rPr>
          <w:rFonts w:ascii="Times New Roman" w:hAnsi="Times New Roman"/>
          <w:color w:val="000000"/>
          <w:sz w:val="20"/>
          <w:u w:val="single"/>
        </w:rPr>
        <w:t>Exchange”)</w:t>
      </w:r>
      <w:r>
        <w:rPr>
          <w:rFonts w:ascii="Times New Roman" w:hAnsi="Times New Roman"/>
          <w:color w:val="000000"/>
          <w:sz w:val="20"/>
        </w:rPr>
        <w:t xml:space="preserve"> and the Company has taken no action designed to, or likely to have the effect of,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delisting the shares of Common Stock from the Exchange, nor has the Company, except as otherwise disclosed in the Disclosure Package, received any notification that the Exchange is contemplating terminating such listing.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sz w:val="20"/>
        </w:rPr>
      </w:pPr>
      <w:r>
        <w:rPr>
          <w:rFonts w:ascii="Times New Roman" w:hAnsi="Times New Roman"/>
          <w:color w:val="000000"/>
          <w:sz w:val="20"/>
          <w:u w:val="single"/>
        </w:rPr>
        <w:t>No Stop Orders, etc</w:t>
      </w:r>
      <w:r>
        <w:rPr>
          <w:rFonts w:ascii="Times New Roman" w:hAnsi="Times New Roman"/>
          <w:color w:val="000000"/>
          <w:sz w:val="20"/>
        </w:rPr>
        <w:t>. Neither the Commission nor, to the Company's knowledge, any state regulatory authority has issued any order preventing or suspending the use of the Registration Statement, any Preliminary Prospectus or the Prospectus or has instituted or, to the Company's knowledge, threatened to institute, any proceedings with respect to such an order. The Company has complied with each request (if any) from the Commission for additional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sz w:val="20"/>
        </w:rPr>
      </w:pPr>
      <w:r>
        <w:rPr>
          <w:rFonts w:ascii="Times New Roman" w:hAnsi="Times New Roman"/>
          <w:color w:val="000000"/>
          <w:sz w:val="20"/>
          <w:u w:val="single"/>
        </w:rPr>
        <w:t>Subsidiaries</w:t>
      </w:r>
      <w:r>
        <w:rPr>
          <w:rFonts w:ascii="Times New Roman" w:hAnsi="Times New Roman"/>
          <w:color w:val="000000"/>
          <w:sz w:val="20"/>
        </w:rPr>
        <w:t xml:space="preserve">. The Company's subsidiaries, if any, have been duly incorporated and are validly existing as entities in good standing under the laws of the jurisdictions of their respective organization, with power and authority to own, lease and operate their respective properties and conduct their respective businesses as described in the Preliminary Prospectus, and have been duly qualified as foreign corporations for the transaction of business and are in good standing under the laws of each other jurisdiction in which they own or lease properties or conduct any business so as to require such qualification, except where the failure so to qualify or be in good standing would not have a Material Adverse Change (as defined below); all of the issued and outstanding capital stock (or other ownership interests) of such subsidiaries has been duly and validly authorized and issued, is fully paid and non-assessable and is owned, directly and indirectly, by the Company free and clear of any security interest, mortgage, pledge, lien, encumbrance, claim or equity. Unless otherwise set forth, all references in this Section 7 to the “Company” shall include references to all such subsidiaries.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left"/>
        <w:rPr>
          <w:rFonts w:ascii="Times New Roman" w:hAnsi="Times New Roman"/>
          <w:sz w:val="20"/>
        </w:rPr>
      </w:pPr>
      <w:r>
        <w:rPr>
          <w:rFonts w:ascii="Times New Roman" w:hAnsi="Times New Roman"/>
          <w:color w:val="000000"/>
          <w:sz w:val="20"/>
          <w:u w:val="single"/>
        </w:rPr>
        <w:t>Disclosures in Registration Statement</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Compliance with Securities Act and 10b-5 Representation.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of the Registration Statement and any post-effective amendment thereto, at the time it became effective, complied in all material respects with the requirements of the Securities Act and the Securities Act Regulations. The Preliminary Prospectus and the Prospectus, at the time each was or will be filed with the Commission, complied or will comply in all material respects with the requirements of the Securities Act and the Securities Act Regulations. The Preliminary Prospectus delivered to the Placement Agent for use in connection with this Offering and the Prospectus was or will be identical to the electronically transmitted copies thereof filed with the Commission pursuant to EDGAR, except to the extent permitted by Regulation S-T.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sz w:val="20"/>
        </w:rPr>
      </w:pPr>
      <w:r>
        <w:rPr>
          <w:rFonts w:ascii="Times New Roman" w:hAnsi="Times New Roman"/>
          <w:color w:val="000000"/>
          <w:sz w:val="20"/>
        </w:rPr>
        <w:t>None of the Registration Statement, any amendment thereto, or the Preliminary Prospectus, as of the date hereof (the “</w:t>
      </w:r>
      <w:r>
        <w:rPr>
          <w:rFonts w:ascii="Times New Roman" w:hAnsi="Times New Roman"/>
          <w:color w:val="000000"/>
          <w:sz w:val="20"/>
          <w:u w:val="single"/>
        </w:rPr>
        <w:t>Initial Sale Time</w:t>
      </w:r>
      <w:r>
        <w:rPr>
          <w:rFonts w:ascii="Times New Roman" w:hAnsi="Times New Roman"/>
          <w:color w:val="000000"/>
          <w:sz w:val="20"/>
        </w:rPr>
        <w:t>”), and at the Closing Date, contained, contains or will contain an untrue statement of a material fact or omitted, omits or will omit to state a material fact required to be stated therein or necessary to make the statements therein not misleading; provided, however, that this representation and warranty shall not apply to statements made or statements omitted in reliance upon and in conformity with written information furnished to the Company with respect to the Placement Agent by the Placement Agent expressly for use in the Registration Statement or any amendment thereof or supplement thereto. The parties acknowledge and agree that such information provided by or on behalf of any Placement Agent consists solely of the following disclosure contained in the following paragraphs in the “Plan of Distribution” section of the Prospectus: (i) the name of the Placement Agent, and (ii) the information under the subsection “Fees and Expenses” (the “</w:t>
      </w:r>
      <w:r>
        <w:rPr>
          <w:rFonts w:ascii="Times New Roman" w:hAnsi="Times New Roman"/>
          <w:color w:val="000000"/>
          <w:sz w:val="20"/>
          <w:u w:val="single"/>
        </w:rPr>
        <w:t>Placement Agent’s Information</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Disclosure Package, as of the Initial Sale Time and at the Closing Date, did not, does not and will not include an untrue statement of a material fact or omit to state a material fact necessary in order to make the statements therein, in the light of the circumstances under which they were made, not misleading; and each Issuer Free Writing Prospectus does not conflict with the information contained in the Registration Statement, any Preliminary Prospectus, or the Prospectus, and each such Issuer Free Writing Prospectus, as supplemented by and taken together with the Preliminary Prospectus as of the Initial Sale Time, did not include an untrue statement of a material fact or omit to state a material fact necessary in order to make the statements therein, in light of the circumstances under which they were made, not misleading; provided, however, that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representation and warranty shall not apply to statements made or statements omitted in reliance upon and in conformity with written information furnished to the Company with respect to the Placement Agent by the Placement Agent expressly for use in the Registration Statement, the Preliminary Prospectus or the Prospectus or any amendment thereof or supplement thereto. The parties acknowledge and agree that such information provided by or on behalf of any Placement Agent consists solely of the Placement Agent’s Information;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Neither the Prospectus nor any amendment or supplement thereto, as of its issue date, at the time of any filing with the Commission pursuant to Rule 424(b), or at the Closing Date,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 the Placement Agent's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rFonts w:ascii="Times New Roman" w:hAnsi="Times New Roman"/>
          <w:sz w:val="20"/>
        </w:rPr>
      </w:pPr>
      <w:r>
        <w:rPr>
          <w:rFonts w:ascii="Times New Roman" w:hAnsi="Times New Roman"/>
          <w:color w:val="000000"/>
          <w:sz w:val="20"/>
          <w:u w:val="single"/>
        </w:rPr>
        <w:t>Disclosure of Agreements</w:t>
      </w:r>
      <w:r>
        <w:rPr>
          <w:rFonts w:ascii="Times New Roman" w:hAnsi="Times New Roman"/>
          <w:color w:val="000000"/>
          <w:sz w:val="20"/>
        </w:rPr>
        <w:t>. The agreements and documents described in the Registration Statement, the Disclosure Package and the Prospectus conform in all material respects to the descriptions thereof contained therein and there are no agreements or other documents required by the Securities Act and the Securities Act Regulations to be described in the Registration Statement, the Disclosure Package and the Prospectus or to be filed with the Commission as exhibits to the Registration Statement, that have not been so described or filed. Each agreement or other instrument (however characterized or described) to which the Company is a party or by which it is or may be bound or affected and (i) that is referred to in the Registration Statement, the Disclosure Package and the Prospectus, and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None of such agreements or instruments has been assigned by the Company, and neither the Company nor, to the Company's knowledge, any other party is in default thereunder and, to the Company's knowledge, no event has occurred that, with the lapse of time or the giving of notice, or both, would constitute a default thereunder, except as disclosed in the Registration Statement, the Disclosure Package and the Prospectus. To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(each, a “</w:t>
      </w:r>
      <w:r>
        <w:rPr>
          <w:rFonts w:ascii="Times New Roman" w:hAnsi="Times New Roman"/>
          <w:color w:val="000000"/>
          <w:sz w:val="20"/>
          <w:u w:val="single"/>
        </w:rPr>
        <w:t>Governmental Entity</w:t>
      </w:r>
      <w:r>
        <w:rPr>
          <w:rFonts w:ascii="Times New Roman" w:hAnsi="Times New Roman"/>
          <w:color w:val="000000"/>
          <w:sz w:val="20"/>
        </w:rPr>
        <w:t>”), including, without limitation, those relating to environmental laws and regulations.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left"/>
        <w:rPr>
          <w:rFonts w:ascii="Times New Roman" w:hAnsi="Times New Roman"/>
          <w:sz w:val="20"/>
        </w:rPr>
      </w:pPr>
      <w:r>
        <w:rPr>
          <w:rFonts w:ascii="Times New Roman" w:hAnsi="Times New Roman"/>
          <w:color w:val="000000"/>
          <w:sz w:val="20"/>
          <w:u w:val="single"/>
        </w:rPr>
        <w:t>Prior Securities Transactions</w:t>
      </w:r>
      <w:r>
        <w:rPr>
          <w:rFonts w:ascii="Times New Roman" w:hAnsi="Times New Roman"/>
          <w:color w:val="000000"/>
          <w:sz w:val="20"/>
        </w:rPr>
        <w:t>. For the past three completed fiscal years through the date hereof, no securities of the Company have been sold by the Company or, to the Company’s knowledge, by or on behalf of, or for the benefit of, any person or persons controlling, controlled by or under common control with the Company, except as disclosed in the Registration Statement, the Disclosure Package and the Preliminary Prospectus or, with respect to parties other than the Company, other filings by such other persons with the Commission.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left"/>
        <w:rPr>
          <w:rFonts w:ascii="Times New Roman" w:hAnsi="Times New Roman"/>
          <w:sz w:val="20"/>
        </w:rPr>
      </w:pPr>
      <w:r>
        <w:rPr>
          <w:rFonts w:ascii="Times New Roman" w:hAnsi="Times New Roman"/>
          <w:color w:val="000000"/>
          <w:sz w:val="20"/>
          <w:u w:val="single"/>
        </w:rPr>
        <w:t>Regulations</w:t>
      </w:r>
      <w:r>
        <w:rPr>
          <w:rFonts w:ascii="Times New Roman" w:hAnsi="Times New Roman"/>
          <w:color w:val="000000"/>
          <w:sz w:val="20"/>
        </w:rPr>
        <w:t>. The disclosures in the Registration Statement, the Disclosure Package and the Prospectus concerning the effects of federal, state, local and all foreign regulation on the Offering and the Company's business as currently contemplated are correct in all material respects and no other such regulations are required to be disclosed in the Registration Statement, the Disclosure Package and the Prospectus which are not so disclosed.</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Changes After Dates in Registration Statement.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left"/>
        <w:rPr>
          <w:rFonts w:ascii="Times New Roman" w:hAnsi="Times New Roman"/>
          <w:sz w:val="20"/>
        </w:rPr>
      </w:pPr>
      <w:r>
        <w:rPr>
          <w:rFonts w:ascii="Times New Roman" w:hAnsi="Times New Roman"/>
          <w:color w:val="000000"/>
          <w:sz w:val="20"/>
          <w:u w:val="single"/>
        </w:rPr>
        <w:t>No Material Adverse Change</w:t>
      </w:r>
      <w:r>
        <w:rPr>
          <w:rFonts w:ascii="Times New Roman" w:hAnsi="Times New Roman"/>
          <w:color w:val="000000"/>
          <w:sz w:val="20"/>
        </w:rPr>
        <w:t>. Since the respective dates as of which information is given in the Registration Statement, the Disclosure Package and the Prospectus, except as otherwise specifically stated therein: (i) there has been no material adverse change in the financial position or results of operations of the Company, nor any change or development that, singularly or in the aggregate, would involve a material adverse change, in or affecting the condition (financial or otherwise), results of operations, business, assets or prospects of the Company (a “</w:t>
      </w:r>
      <w:r>
        <w:rPr>
          <w:rFonts w:ascii="Times New Roman" w:hAnsi="Times New Roman"/>
          <w:color w:val="000000"/>
          <w:sz w:val="20"/>
          <w:u w:val="single"/>
        </w:rPr>
        <w:t>Material Adverse Change</w:t>
      </w:r>
      <w:r>
        <w:rPr>
          <w:rFonts w:ascii="Times New Roman" w:hAnsi="Times New Roman"/>
          <w:color w:val="000000"/>
          <w:sz w:val="20"/>
        </w:rPr>
        <w:t>”); (ii) there have been no material transactions entered into by the Company, other than as contemplated pursuant to this Agreement; and (iii) no officer or director of the Company has resigned from any position with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left"/>
        <w:rPr>
          <w:rFonts w:ascii="Times New Roman" w:hAnsi="Times New Roman"/>
          <w:sz w:val="20"/>
        </w:rPr>
      </w:pPr>
      <w:r>
        <w:rPr>
          <w:rFonts w:ascii="Times New Roman" w:hAnsi="Times New Roman"/>
          <w:color w:val="000000"/>
          <w:sz w:val="20"/>
          <w:u w:val="single"/>
        </w:rPr>
        <w:t>Recent Securities Transactions, etc</w:t>
      </w:r>
      <w:r>
        <w:rPr>
          <w:rFonts w:ascii="Times New Roman" w:hAnsi="Times New Roman"/>
          <w:color w:val="000000"/>
          <w:sz w:val="20"/>
        </w:rPr>
        <w:t>. Subsequent to the respective dates as of which information is given in the Registration Statement, the Disclosure Package and the Prospectus, and except as may otherwise be indicated or contemplated herein or disclosed in the Registration Statement, the Disclosure Package and the Prospectus, the Company has not: (i) issued any securities (other than (a) grants under any stock compensation plan and (b) shares of common stock issued upon exercise or conversion of option, warrants or convertible securities described in the Registration Statement, the Disclosure Package and the Prospectus) or incurred any liability or obligation, direct or contingent, for borrowed money; or (ii) declared or paid any dividend or made any other distribution on or in respect to its capital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left"/>
        <w:rPr>
          <w:rFonts w:ascii="Times New Roman" w:hAnsi="Times New Roman"/>
          <w:sz w:val="20"/>
        </w:rPr>
      </w:pPr>
      <w:r>
        <w:rPr>
          <w:rFonts w:ascii="Times New Roman" w:hAnsi="Times New Roman"/>
          <w:color w:val="000000"/>
          <w:sz w:val="20"/>
          <w:u w:val="single"/>
        </w:rPr>
        <w:t>Independent Accountants</w:t>
      </w:r>
      <w:r>
        <w:rPr>
          <w:rFonts w:ascii="Times New Roman" w:hAnsi="Times New Roman"/>
          <w:color w:val="000000"/>
          <w:sz w:val="20"/>
        </w:rPr>
        <w:t>. To the knowledge of the Company, Cherry Bekaert LLP, during such time as it was engaged by the Company (the “</w:t>
      </w:r>
      <w:r>
        <w:rPr>
          <w:rFonts w:ascii="Times New Roman" w:hAnsi="Times New Roman"/>
          <w:color w:val="000000"/>
          <w:sz w:val="20"/>
          <w:u w:val="single"/>
        </w:rPr>
        <w:t>Auditors</w:t>
      </w:r>
      <w:r>
        <w:rPr>
          <w:rFonts w:ascii="Times New Roman" w:hAnsi="Times New Roman"/>
          <w:color w:val="000000"/>
          <w:sz w:val="20"/>
        </w:rPr>
        <w:t>”), has been an independent registered public accounting firm as required by the Securities Act and the Securities Act Regulations and the Public Company Accounting Oversight Board. During such time period in which the Auditors served as the Company's independent registered public accounting firm, the Auditors did not or have not, during the periods covered by the financial statements included in the Registration Statement, the Disclosure Package and the Prospectus, provided to the Company any non-audit services, as such term is used in Section 10A(g) of the Exchange 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left"/>
        <w:rPr>
          <w:rFonts w:ascii="Times New Roman" w:hAnsi="Times New Roman"/>
          <w:sz w:val="20"/>
        </w:rPr>
      </w:pPr>
      <w:r>
        <w:rPr>
          <w:rFonts w:ascii="Times New Roman" w:hAnsi="Times New Roman"/>
          <w:color w:val="000000"/>
          <w:sz w:val="20"/>
          <w:u w:val="single"/>
        </w:rPr>
        <w:t>SEC Reports; Financial Statements, etc</w:t>
      </w:r>
      <w:r>
        <w:rPr>
          <w:rFonts w:ascii="Times New Roman" w:hAnsi="Times New Roman"/>
          <w:color w:val="000000"/>
          <w:sz w:val="20"/>
        </w:rPr>
        <w:t>. The Company has complied in all material respects with requirements to file all reports, schedules, forms, statements and other documents required to be filed by it under the Securities Act and the Exchange Act, including pursuant to Section 13(a) or 15(d) thereof (the foregoing materials, including the exhibits thereto and documents incorporated by reference therein, being collectively referred to herein as the “</w:t>
      </w:r>
      <w:r>
        <w:rPr>
          <w:rFonts w:ascii="Times New Roman" w:hAnsi="Times New Roman"/>
          <w:color w:val="000000"/>
          <w:sz w:val="20"/>
          <w:u w:val="single"/>
        </w:rPr>
        <w:t>SEC Reports</w:t>
      </w:r>
      <w:r>
        <w:rPr>
          <w:rFonts w:ascii="Times New Roman" w:hAnsi="Times New Roman"/>
          <w:color w:val="000000"/>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hAnsi="Times New Roman"/>
          <w:color w:val="000000"/>
          <w:sz w:val="20"/>
          <w:u w:val="single"/>
        </w:rPr>
        <w:t>GAAP</w:t>
      </w:r>
      <w:r>
        <w:rPr>
          <w:rFonts w:ascii="Times New Roman" w:hAnsi="Times New Roman"/>
          <w:color w:val="000000"/>
          <w:sz w:val="20"/>
        </w:rPr>
        <w:t xml:space="preserve">”),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year-end audit adjustments that are not expected to be material in the aggregate. The financial statements, including the notes thereto and supporting schedules included in the Registration Statement, the Disclosure Package and the Prospectus, fairly present in all material respects the financial position and the results of operations of the Company at the dates and for the periods to which they apply; and such financial statements have been prepared in conformity with GAAP, consistently applied throughout the periods involved (provided that unaudited interim financial statements are subject to year-end audit adjustments that are not expected to be material in the aggregate and do not contain all footnotes required by GAAP); and the supporting schedules included in the Registration Statement present fairly in all material respects the information required to be stated therein. Except as included therein, no historical or pro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forma financial statements are required to be included in the Registration Statement, the Disclosure Package or the Prospectus under the Securities Act or the Securities Act Regulations. The pro forma and pro forma as adjusted financial information and the related notes, if any, included in the Registration Statement, the Disclosure Package and the Prospectus have been properly compiled and prepared in all material respects in accordance with the applicable requirements of the Securities Act and the Securities Act Regulations and present fairly in all material respects the information shown therein, and the assumptions used in the preparation thereof are reasonable and the adjustments used therein are appropriate to give effect to the transactions and circumstances referred to therein. All disclosures contained in the Registration Statement, the Disclosure Package or the Prospectus regarding “non-GAAP financial measures” (as such term is defined by the rules and regulations of the Commission), if any, comply with Regulation G of the Exchange Act and Item 10 of Regulation S-K of the Securities Act, to the extent applicable. Each of the Registration Statement, the Disclosure Package and the Prospectus discloses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Except as disclosed in the Registration Statement, the Disclosure Package and the Prospectus, (a) the Company has not incurred any material liabilities or obligations, direct or contingent, or entered into any material transactions other than in the ordinary course of business, (b) the Company has not declared or paid any dividends or made any distribution of any kind with respect to its capital stock, (c) there has not been any change in the capital stock of the Company (other than (i) grants under any stock compensation plan and (ii) shares of common stock issued upon exercise or conversion of option, warrants or convertible securities described in the Registration Statement, the Disclosure Package and the Prospectus), and (d) there has not been any Material Adverse Change in the Company's long-term or short-term debt.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left"/>
        <w:rPr>
          <w:rFonts w:ascii="Times New Roman" w:hAnsi="Times New Roman"/>
          <w:sz w:val="20"/>
        </w:rPr>
      </w:pPr>
      <w:r>
        <w:rPr>
          <w:rFonts w:ascii="Times New Roman" w:hAnsi="Times New Roman"/>
          <w:color w:val="000000"/>
          <w:sz w:val="20"/>
          <w:u w:val="single"/>
        </w:rPr>
        <w:t>Authorized Capital; Options, etc</w:t>
      </w:r>
      <w:r>
        <w:rPr>
          <w:rFonts w:ascii="Times New Roman" w:hAnsi="Times New Roman"/>
          <w:color w:val="000000"/>
          <w:sz w:val="20"/>
        </w:rPr>
        <w:t>. The Company had, at the date or dates indicated in the Registration Statement, the Disclosure Package and the Prospectus, the duly authorized, issued and outstanding capitalization as set forth therein. Based on the assumptions stated in the Registration Statement, the Disclosure Package and the Prospectus, the Company will have on the Closing Date substantially the adjusted stock capitalization set forth therein. Except as set forth in, or contemplated by, the Registration Statement, the Disclosure Package and the Prospectus, on the Effective Date, as of the Initial Sale Time, on the Closing Date, there will be no stock options, warrants, or other rights to purchase or otherwise acquire any authorized, but unissued shares of Common Stock of the Company or any security convertible or exercisable into shares of Common Stock of the Company, or any contracts or commitments to issue or sell shares of Common Stock or any such options, warrants, rights or convertible securities.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sz w:val="20"/>
        </w:rPr>
      </w:pPr>
      <w:r>
        <w:rPr>
          <w:rFonts w:ascii="Times New Roman" w:hAnsi="Times New Roman"/>
          <w:color w:val="000000"/>
          <w:sz w:val="20"/>
          <w:u w:val="single"/>
        </w:rPr>
        <w:t>Valid Issuance of Securities, etc</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sz w:val="20"/>
        </w:rPr>
      </w:pPr>
      <w:r>
        <w:rPr>
          <w:rFonts w:ascii="Times New Roman" w:hAnsi="Times New Roman"/>
          <w:color w:val="000000"/>
          <w:sz w:val="20"/>
          <w:u w:val="single"/>
        </w:rPr>
        <w:t>Outstanding Securities</w:t>
      </w:r>
      <w:r>
        <w:rPr>
          <w:rFonts w:ascii="Times New Roman" w:hAnsi="Times New Roman"/>
          <w:color w:val="000000"/>
          <w:sz w:val="20"/>
        </w:rPr>
        <w:t>. All issued and outstanding securities of the Company issued prior to the transactions contemplated by this Agreement have been duly authorized and validly issued and are fully paid and non-assessable; the holders thereof have no rights of rescission with respect thereto, and are not subject to personal liability by reason of being such holders; and except as disclosed in the Registration Statement, the Disclosure Package and the Prospectus, none of such securities were issued in violation of the preemptive rights of any holders of any security of the Company or similar contractual rights granted by the Company. The authorized shares of Common Stock, Company preferred stock and other outstanding securities conform in all material respects to all statements relating thereto contained in the Registration Statement, the Disclosure Package and the Prospectus. The offers and sales of the outstanding shares of Common Stock were at all relevant times either registered under the Securities Act and the applicable state securities or “blue sky” laws or, based in part on the representations and warranties of the purchasers of such shares, exempt from such registration requirements.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rFonts w:ascii="Times New Roman" w:hAnsi="Times New Roman"/>
          <w:sz w:val="20"/>
        </w:rPr>
      </w:pPr>
      <w:r>
        <w:rPr>
          <w:rFonts w:ascii="Times New Roman" w:hAnsi="Times New Roman"/>
          <w:color w:val="000000"/>
          <w:sz w:val="20"/>
          <w:u w:val="single"/>
        </w:rPr>
        <w:t>Securities Sold Pursuant to this Agreement</w:t>
      </w:r>
      <w:r>
        <w:rPr>
          <w:rFonts w:ascii="Times New Roman" w:hAnsi="Times New Roman"/>
          <w:color w:val="000000"/>
          <w:sz w:val="20"/>
        </w:rPr>
        <w:t xml:space="preserve">. The Securities have been duly authorized for issuance and sale and, when issued and paid for, will be validly issued, fully paid and non-assessable; the holders thereof are not and will not be subject to personal liability by reason of being such holders; the Securities are not and will not be subject to the preemptive rights of any holders of any security of the Company or similar contractual rights granted by the Company. All corporate action required to be taken for the authorization, issuance and sale of the Securities has been duly and validly taken; the Common Stock underlying the Pre-Funded Warrants has been duly authorized and reserved for issuance by all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necessary corporate action on the part of the Company and when paid for, if applicable, and issued in accordance with the Pre-Funded Warrants, such Common Stock will be validly issued, fully paid and non-assessable; the holders thereof are not and will not be subject to personal liability by reason of being such holders; and such shares of Common Stock are not and will not be subject to the preemptive rights of any holders of any security of the Company or similar contractual rights granted by the Company. The Securities conform in all material respects to all statements with respect thereto contained in the Registration Statement, the Disclosure Package and the Prospectus.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left"/>
        <w:rPr>
          <w:rFonts w:ascii="Times New Roman" w:hAnsi="Times New Roman"/>
          <w:sz w:val="20"/>
        </w:rPr>
      </w:pPr>
      <w:r>
        <w:rPr>
          <w:rFonts w:ascii="Times New Roman" w:hAnsi="Times New Roman"/>
          <w:color w:val="000000"/>
          <w:sz w:val="20"/>
          <w:u w:val="single"/>
        </w:rPr>
        <w:t>Reserved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left"/>
        <w:rPr>
          <w:rFonts w:ascii="Times New Roman" w:hAnsi="Times New Roman"/>
          <w:sz w:val="20"/>
        </w:rPr>
      </w:pPr>
      <w:r>
        <w:rPr>
          <w:rFonts w:ascii="Times New Roman" w:hAnsi="Times New Roman"/>
          <w:color w:val="000000"/>
          <w:sz w:val="20"/>
          <w:u w:val="single"/>
        </w:rPr>
        <w:t>Validity and Binding Effect of Agreements</w:t>
      </w:r>
      <w:r>
        <w:rPr>
          <w:rFonts w:ascii="Times New Roman" w:hAnsi="Times New Roman"/>
          <w:color w:val="000000"/>
          <w:sz w:val="20"/>
        </w:rPr>
        <w:t>. This Agreement and the Pre-Funded Warrants each has been duly and validly authorized by the Company, and, when executed and delivered, will constitute, the valid and binding agreement of the Company, enforceable against the Company in accordance with its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left"/>
        <w:rPr>
          <w:rFonts w:ascii="Times New Roman" w:hAnsi="Times New Roman"/>
          <w:sz w:val="20"/>
        </w:rPr>
      </w:pPr>
      <w:r>
        <w:rPr>
          <w:rFonts w:ascii="Times New Roman" w:hAnsi="Times New Roman"/>
          <w:color w:val="000000"/>
          <w:sz w:val="20"/>
          <w:u w:val="single"/>
        </w:rPr>
        <w:t>No Conflicts, etc</w:t>
      </w:r>
      <w:r>
        <w:rPr>
          <w:rFonts w:ascii="Times New Roman" w:hAnsi="Times New Roman"/>
          <w:color w:val="000000"/>
          <w:sz w:val="20"/>
        </w:rPr>
        <w:t>. The execution, delivery and performance by the Company of this Agreement, the Pre-Funded Warrants, and all ancillary documents, the consummation 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lien, charge or encumbrance upon any property or assets of the Company pursuant to the terms of any agreement or instrument to which the Company is a party; (ii) result in any violation of the provisions of the Company's Certificate of Incorporation (as the same may be amended or restated from time to time, the “</w:t>
      </w:r>
      <w:r>
        <w:rPr>
          <w:rFonts w:ascii="Times New Roman" w:hAnsi="Times New Roman"/>
          <w:color w:val="000000"/>
          <w:sz w:val="20"/>
          <w:u w:val="single"/>
        </w:rPr>
        <w:t>Charter</w:t>
      </w:r>
      <w:r>
        <w:rPr>
          <w:rFonts w:ascii="Times New Roman" w:hAnsi="Times New Roman"/>
          <w:color w:val="000000"/>
          <w:sz w:val="20"/>
        </w:rPr>
        <w:t>”) or the by-laws of the Company (as the same may be amended or restated from time to time, the “</w:t>
      </w:r>
      <w:r>
        <w:rPr>
          <w:rFonts w:ascii="Times New Roman" w:hAnsi="Times New Roman"/>
          <w:color w:val="000000"/>
          <w:sz w:val="20"/>
          <w:u w:val="single"/>
        </w:rPr>
        <w:t>Bylaws</w:t>
      </w:r>
      <w:r>
        <w:rPr>
          <w:rFonts w:ascii="Times New Roman" w:hAnsi="Times New Roman"/>
          <w:color w:val="000000"/>
          <w:sz w:val="20"/>
        </w:rPr>
        <w:t>”); or (iii) violate any existing applicable law, rule, regulation, judgment, order or decree of any Governmental Entity as of the date 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Reserved.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left"/>
        <w:rPr>
          <w:rFonts w:ascii="Times New Roman" w:hAnsi="Times New Roman"/>
          <w:sz w:val="20"/>
        </w:rPr>
      </w:pPr>
      <w:r>
        <w:rPr>
          <w:rFonts w:ascii="Times New Roman" w:hAnsi="Times New Roman"/>
          <w:color w:val="000000"/>
          <w:sz w:val="20"/>
          <w:u w:val="single"/>
        </w:rPr>
        <w:t>No Defaults; Violations</w:t>
      </w:r>
      <w:r>
        <w:rPr>
          <w:rFonts w:ascii="Times New Roman" w:hAnsi="Times New Roman"/>
          <w:color w:val="000000"/>
          <w:sz w:val="20"/>
        </w:rPr>
        <w:t>. No material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 in violation of any term or provision of its Charter or Bylaws, or (ii) in violation of any franchise, license, permit, applicable law, rule, regulation, judgment or decree of any Governmental Entity applicable to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left"/>
        <w:rPr>
          <w:rFonts w:ascii="Times New Roman" w:hAnsi="Times New Roman"/>
          <w:sz w:val="20"/>
        </w:rPr>
      </w:pPr>
      <w:r>
        <w:rPr>
          <w:rFonts w:ascii="Times New Roman" w:hAnsi="Times New Roman"/>
          <w:color w:val="000000"/>
          <w:sz w:val="20"/>
          <w:u w:val="single"/>
        </w:rPr>
        <w:t>Corporate Power; Licenses; Consents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Except as described in the Registration Statement, the Disclosure Package and the Prospectus, the Company has all requisite corporate power and authority, and, except as would not reasonably be expected to result in a Material Adverse Change, has all necessary authorizations, approvals, orders, licenses, certificates and permits of and from all governmental regulatory officials and bodies that it needs as of the date hereof to conduct its business as described in the Registration Statement, the Disclosure Package and the Prospectus.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has all corporate power and authority to enter into this Agreement and to carry out the provisions and conditions hereof, and all consents, authorizations, approvals and orders required in connection therewith have been obtained. No consent, authorization or order of, and no filing with, any court, government agency or other body is required for the valid issuance, sale and delivery of the Securities and the shares of Common Stock underlying the Pre-Funded Warrants, and the consummation of the transactions and agreements contemplated by this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Agreement and as contemplated by the Registration Statement, the Disclosure Package and the Prospectus, except with respect to applicable federal and state securities laws and the rules and regulations of the Financial Industry Regulatory Authority, Inc. (“</w:t>
      </w:r>
      <w:r>
        <w:rPr>
          <w:rFonts w:ascii="Times New Roman" w:hAnsi="Times New Roman"/>
          <w:color w:val="000000"/>
          <w:sz w:val="20"/>
          <w:u w:val="single"/>
        </w:rPr>
        <w:t>FINRA</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w:t>
      </w:r>
    </w:p>
    <w:p>
      <w:pPr>
        <w:pStyle w:val="TextBody"/>
        <w:bidi w:val="0"/>
        <w:spacing w:before="0" w:after="240"/>
        <w:jc w:val="left"/>
        <w:rPr>
          <w:rFonts w:ascii="Times New Roman" w:hAnsi="Times New Roman"/>
          <w:sz w:val="20"/>
        </w:rPr>
      </w:pPr>
      <w:r>
        <w:rPr>
          <w:rFonts w:ascii="Times New Roman" w:hAnsi="Times New Roman"/>
          <w:color w:val="000000"/>
          <w:sz w:val="20"/>
          <w:u w:val="single"/>
        </w:rPr>
        <w:t>Litigation; Governmental Proceedings</w:t>
      </w:r>
      <w:r>
        <w:rPr>
          <w:rFonts w:ascii="Times New Roman" w:hAnsi="Times New Roman"/>
          <w:color w:val="000000"/>
          <w:sz w:val="20"/>
        </w:rPr>
        <w:t xml:space="preserve">. There is no material action, suit, proceeding, inquiry, arbitration, investigation, litigation or governmental proceeding pending or, to the Company's knowledge, threatened against, or involving the Company or, to the Company's knowledge, any executive officer or director which has not been disclosed in the Registration Statement, the Disclosure Package and the Prospectus or in connection with the Company's listing application for the additional listing of the Common Stock (including the Common Stock underlying the Pre-Funded Warrants) on the Exchange.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Q.</w:t>
      </w:r>
    </w:p>
    <w:p>
      <w:pPr>
        <w:pStyle w:val="TextBody"/>
        <w:bidi w:val="0"/>
        <w:spacing w:before="0" w:after="240"/>
        <w:jc w:val="left"/>
        <w:rPr>
          <w:rFonts w:ascii="Times New Roman" w:hAnsi="Times New Roman"/>
          <w:sz w:val="20"/>
        </w:rPr>
      </w:pPr>
      <w:r>
        <w:rPr>
          <w:rFonts w:ascii="Times New Roman" w:hAnsi="Times New Roman"/>
          <w:color w:val="000000"/>
          <w:sz w:val="20"/>
          <w:u w:val="single"/>
        </w:rPr>
        <w:t>Good Standing</w:t>
      </w:r>
      <w:r>
        <w:rPr>
          <w:rFonts w:ascii="Times New Roman" w:hAnsi="Times New Roman"/>
          <w:color w:val="000000"/>
          <w:sz w:val="20"/>
        </w:rPr>
        <w:t>. The Company has been duly organized and is validly existing as a corporation and is in good standing under the laws of the State of Delaware as of the date hereof, and is duly qualified to do business and is in good standing in each other jurisdiction in which its ownership or lease of property or the conduct of business requires such qualification, except where the failure to qualify, singularly or in the aggregate, would not have or reasonably be expected to result in a Material Adverse Change.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w:t>
      </w:r>
    </w:p>
    <w:p>
      <w:pPr>
        <w:pStyle w:val="TextBody"/>
        <w:bidi w:val="0"/>
        <w:spacing w:before="0" w:after="240"/>
        <w:jc w:val="left"/>
        <w:rPr>
          <w:rFonts w:ascii="Times New Roman" w:hAnsi="Times New Roman"/>
          <w:sz w:val="20"/>
        </w:rPr>
      </w:pPr>
      <w:r>
        <w:rPr>
          <w:rFonts w:ascii="Times New Roman" w:hAnsi="Times New Roman"/>
          <w:color w:val="000000"/>
          <w:sz w:val="20"/>
          <w:u w:val="single"/>
        </w:rPr>
        <w:t>Insurance</w:t>
      </w:r>
      <w:r>
        <w:rPr>
          <w:rFonts w:ascii="Times New Roman" w:hAnsi="Times New Roman"/>
          <w:color w:val="000000"/>
          <w:sz w:val="20"/>
        </w:rPr>
        <w:t>. The Company carries or is entitled to the benefits of insurance, with, to the Company's knowledge, reputable insurers, and in such amounts and covering such risks which the Company believes are reasonably adequate, and all such insurance is in full force and effect. The Company has no reason to believe that it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Change.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w:t>
      </w:r>
    </w:p>
    <w:p>
      <w:pPr>
        <w:pStyle w:val="TextBody"/>
        <w:bidi w:val="0"/>
        <w:spacing w:before="0" w:after="240"/>
        <w:jc w:val="left"/>
        <w:rPr>
          <w:rFonts w:ascii="Times New Roman" w:hAnsi="Times New Roman"/>
          <w:sz w:val="20"/>
        </w:rPr>
      </w:pPr>
      <w:r>
        <w:rPr>
          <w:rFonts w:ascii="Times New Roman" w:hAnsi="Times New Roman"/>
          <w:color w:val="000000"/>
          <w:sz w:val="20"/>
          <w:u w:val="single"/>
        </w:rPr>
        <w:t>Transactions Affecting Disclosure to FINRA</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sz w:val="20"/>
        </w:rPr>
      </w:pPr>
      <w:r>
        <w:rPr>
          <w:rFonts w:ascii="Times New Roman" w:hAnsi="Times New Roman"/>
          <w:color w:val="000000"/>
          <w:sz w:val="20"/>
          <w:u w:val="single"/>
        </w:rPr>
        <w:t>Finder's Fees</w:t>
      </w:r>
      <w:r>
        <w:rPr>
          <w:rFonts w:ascii="Times New Roman" w:hAnsi="Times New Roman"/>
          <w:color w:val="000000"/>
          <w:sz w:val="20"/>
        </w:rPr>
        <w:t>. Except as described in the Registration Statement, the Disclosure Package and the Prospectus, there are no claims, payments, arrangements, agreements or understandings relating to the payment of a finder's, consulting or origination fee by the Company or any executive officer or director of the Company (each, an “</w:t>
      </w:r>
      <w:r>
        <w:rPr>
          <w:rFonts w:ascii="Times New Roman" w:hAnsi="Times New Roman"/>
          <w:color w:val="000000"/>
          <w:sz w:val="20"/>
          <w:u w:val="single"/>
        </w:rPr>
        <w:t>Insider</w:t>
      </w:r>
      <w:r>
        <w:rPr>
          <w:rFonts w:ascii="Times New Roman" w:hAnsi="Times New Roman"/>
          <w:color w:val="000000"/>
          <w:sz w:val="20"/>
        </w:rPr>
        <w:t>”) with respect to the sale of the Securities hereunder or any other arrangements, agreements or understandings of the Company or, to the Company's knowledge, any of its stockholders that may affect the Placement Agent’s compensation, as determined by FINRA.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rFonts w:ascii="Times New Roman" w:hAnsi="Times New Roman"/>
          <w:sz w:val="20"/>
        </w:rPr>
      </w:pPr>
      <w:r>
        <w:rPr>
          <w:rFonts w:ascii="Times New Roman" w:hAnsi="Times New Roman"/>
          <w:color w:val="000000"/>
          <w:sz w:val="20"/>
          <w:u w:val="single"/>
        </w:rPr>
        <w:t>Payments Within Twelve (12) Months</w:t>
      </w:r>
      <w:r>
        <w:rPr>
          <w:rFonts w:ascii="Times New Roman" w:hAnsi="Times New Roman"/>
          <w:color w:val="000000"/>
          <w:sz w:val="20"/>
        </w:rPr>
        <w:t>. Except as described in the Registration Statement, the Disclosure Package and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(12) months prior to the date hereof, other than (A) the payment to the Placement Agent as provided hereunder in connection with the Offering, and (B) other payments to the Placement Agent under other engagement letters.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left"/>
        <w:rPr>
          <w:rFonts w:ascii="Times New Roman" w:hAnsi="Times New Roman"/>
          <w:sz w:val="20"/>
        </w:rPr>
      </w:pPr>
      <w:r>
        <w:rPr>
          <w:rFonts w:ascii="Times New Roman" w:hAnsi="Times New Roman"/>
          <w:color w:val="000000"/>
          <w:sz w:val="20"/>
          <w:u w:val="single"/>
        </w:rPr>
        <w:t>Use of Proceeds</w:t>
      </w:r>
      <w:r>
        <w:rPr>
          <w:rFonts w:ascii="Times New Roman" w:hAnsi="Times New Roman"/>
          <w:color w:val="000000"/>
          <w:sz w:val="20"/>
        </w:rPr>
        <w:t>. None of the net proceeds of the Offering will be paid by the Company to any participating FINRA member or its affiliates, except as specifically authorized herein.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left"/>
        <w:rPr>
          <w:rFonts w:ascii="Times New Roman" w:hAnsi="Times New Roman"/>
          <w:sz w:val="20"/>
        </w:rPr>
      </w:pPr>
      <w:r>
        <w:rPr>
          <w:rFonts w:ascii="Times New Roman" w:hAnsi="Times New Roman"/>
          <w:color w:val="000000"/>
          <w:sz w:val="20"/>
          <w:u w:val="single"/>
        </w:rPr>
        <w:t>FINRA Affiliation</w:t>
      </w:r>
      <w:r>
        <w:rPr>
          <w:rFonts w:ascii="Times New Roman" w:hAnsi="Times New Roman"/>
          <w:color w:val="000000"/>
          <w:sz w:val="20"/>
        </w:rPr>
        <w:t xml:space="preserve">. There is no (i) officer or director of the Company, (ii) to the Company’s knowledge, beneficial owner of 5% or more of any class of the Company's securities or (iii) to the Company’s knowledge, beneficial owner of the Company's unregistered equity securities which were acquired during the 180-day period immediately preceding the filing of the Registration Statement that is an affiliate or associated person of a FINRA member participating in the Offering (as determined in accordance with the rules and regulations of FINRA).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left"/>
        <w:rPr>
          <w:rFonts w:ascii="Times New Roman" w:hAnsi="Times New Roman"/>
          <w:sz w:val="20"/>
        </w:rPr>
      </w:pPr>
      <w:r>
        <w:rPr>
          <w:rFonts w:ascii="Times New Roman" w:hAnsi="Times New Roman"/>
          <w:color w:val="000000"/>
          <w:sz w:val="20"/>
          <w:u w:val="single"/>
        </w:rPr>
        <w:t>Information</w:t>
      </w:r>
      <w:r>
        <w:rPr>
          <w:rFonts w:ascii="Times New Roman" w:hAnsi="Times New Roman"/>
          <w:color w:val="000000"/>
          <w:sz w:val="20"/>
        </w:rPr>
        <w:t>. To the Company's knowledge, all information provided by the Company's officers and directors in their FINRA Questionnaires to counsel to the Placement Agent specifically for use by counsel to the Placement Agent in connection with its Public Offering System filings (and related disclosure) with FINRA is true, correct and complete in all material respects.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w:t>
      </w:r>
    </w:p>
    <w:p>
      <w:pPr>
        <w:pStyle w:val="TextBody"/>
        <w:bidi w:val="0"/>
        <w:spacing w:before="0" w:after="240"/>
        <w:jc w:val="left"/>
        <w:rPr>
          <w:rFonts w:ascii="Times New Roman" w:hAnsi="Times New Roman"/>
          <w:sz w:val="20"/>
        </w:rPr>
      </w:pPr>
      <w:r>
        <w:rPr>
          <w:rFonts w:ascii="Times New Roman" w:hAnsi="Times New Roman"/>
          <w:color w:val="000000"/>
          <w:sz w:val="20"/>
          <w:u w:val="single"/>
        </w:rPr>
        <w:t>Foreign Corrupt Practices Act</w:t>
      </w:r>
      <w:r>
        <w:rPr>
          <w:rFonts w:ascii="Times New Roman" w:hAnsi="Times New Roman"/>
          <w:color w:val="000000"/>
          <w:sz w:val="20"/>
        </w:rPr>
        <w:t>. Neither the Company nor, to the Company's knowledge, any director, officer, agent, employee or affiliate of the Company or any other person acting on behalf of the Company,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Entity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Change or (iii) if not continued in the future, might adversely affect the assets, business, operations or prospects of the Company. The Company has taken reasonable steps to ensure that its accounting controls and procedures are sufficient to cause the Company to comply in all material respects with the Foreign Corrupt Practices Act of 1977, as amended.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w:t>
      </w:r>
    </w:p>
    <w:p>
      <w:pPr>
        <w:pStyle w:val="TextBody"/>
        <w:bidi w:val="0"/>
        <w:spacing w:before="0" w:after="240"/>
        <w:jc w:val="left"/>
        <w:rPr>
          <w:rFonts w:ascii="Times New Roman" w:hAnsi="Times New Roman"/>
          <w:sz w:val="20"/>
        </w:rPr>
      </w:pPr>
      <w:r>
        <w:rPr>
          <w:rFonts w:ascii="Times New Roman" w:hAnsi="Times New Roman"/>
          <w:color w:val="000000"/>
          <w:sz w:val="20"/>
          <w:u w:val="single"/>
        </w:rPr>
        <w:t>Compliance with OFAC</w:t>
      </w:r>
      <w:r>
        <w:rPr>
          <w:rFonts w:ascii="Times New Roman" w:hAnsi="Times New Roman"/>
          <w:color w:val="000000"/>
          <w:sz w:val="20"/>
        </w:rPr>
        <w:t>. Neither of the Company nor, to the Company's knowledge, any director, officer, agent, employee or affiliate of the Company or any other person acting on behalf of the Company, is currently subject to any U.S. sanctions administered by the Office of Foreign Assets Control of the U.S. Department of the Treasury (“</w:t>
      </w:r>
      <w:r>
        <w:rPr>
          <w:rFonts w:ascii="Times New Roman" w:hAnsi="Times New Roman"/>
          <w:color w:val="000000"/>
          <w:sz w:val="20"/>
          <w:u w:val="single"/>
        </w:rPr>
        <w:t>OFAC</w:t>
      </w:r>
      <w:r>
        <w:rPr>
          <w:rFonts w:ascii="Times New Roman" w:hAnsi="Times New Roman"/>
          <w:color w:val="000000"/>
          <w:sz w:val="20"/>
        </w:rPr>
        <w:t>”), and the Company will not knowingly, directly or indirectly, use the proceeds of the Offering hereunder, or lend, contribute or otherwise make available such proceeds to any subsidiary, joint venture partner or other person or entity, for the purpose of financing the activities of any person currently subject to any U.S. sanctions administered by OFAC.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left"/>
        <w:rPr>
          <w:rFonts w:ascii="Times New Roman" w:hAnsi="Times New Roman"/>
          <w:sz w:val="20"/>
        </w:rPr>
      </w:pPr>
      <w:r>
        <w:rPr>
          <w:rFonts w:ascii="Times New Roman" w:hAnsi="Times New Roman"/>
          <w:color w:val="000000"/>
          <w:sz w:val="20"/>
          <w:u w:val="single"/>
        </w:rPr>
        <w:t>Money Laundering Laws</w:t>
      </w:r>
      <w:r>
        <w:rPr>
          <w:rFonts w:ascii="Times New Roman" w:hAnsi="Times New Roman"/>
          <w:color w:val="000000"/>
          <w:sz w:val="20"/>
        </w:rPr>
        <w:t>. The operations of the Company are and have been conducted at all times in compliance in all material respects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Times New Roman" w:hAnsi="Times New Roman"/>
          <w:color w:val="000000"/>
          <w:sz w:val="20"/>
          <w:u w:val="single"/>
        </w:rPr>
        <w:t>Money Laundering Laws</w:t>
      </w:r>
      <w:r>
        <w:rPr>
          <w:rFonts w:ascii="Times New Roman" w:hAnsi="Times New Roman"/>
          <w:color w:val="000000"/>
          <w:sz w:val="20"/>
        </w:rPr>
        <w:t>”); and no action, suit or proceeding by or before any Governmental Entity involving the Company with respect to the Money Laundering Laws is pending or, to the knowledge of the Company, threatened.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w:t>
      </w:r>
    </w:p>
    <w:p>
      <w:pPr>
        <w:pStyle w:val="TextBody"/>
        <w:bidi w:val="0"/>
        <w:spacing w:before="0" w:after="240"/>
        <w:jc w:val="left"/>
        <w:rPr>
          <w:rFonts w:ascii="Times New Roman" w:hAnsi="Times New Roman"/>
          <w:sz w:val="20"/>
        </w:rPr>
      </w:pPr>
      <w:r>
        <w:rPr>
          <w:rFonts w:ascii="Times New Roman" w:hAnsi="Times New Roman"/>
          <w:color w:val="000000"/>
          <w:sz w:val="20"/>
          <w:u w:val="single"/>
        </w:rPr>
        <w:t>Officers' Certificate</w:t>
      </w:r>
      <w:r>
        <w:rPr>
          <w:rFonts w:ascii="Times New Roman" w:hAnsi="Times New Roman"/>
          <w:color w:val="000000"/>
          <w:sz w:val="20"/>
        </w:rPr>
        <w:t>. Any certificate signed by any duly authorized officer of the Company and delivered to you or to Placement Agent Counsel shall be deemed a representation and warranty by the Company to the Placement Agent as to the matters covered thereby.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w:t>
      </w:r>
    </w:p>
    <w:p>
      <w:pPr>
        <w:pStyle w:val="TextBody"/>
        <w:bidi w:val="0"/>
        <w:spacing w:before="0" w:after="240"/>
        <w:jc w:val="left"/>
        <w:rPr>
          <w:rFonts w:ascii="Times New Roman" w:hAnsi="Times New Roman"/>
          <w:sz w:val="20"/>
        </w:rPr>
      </w:pPr>
      <w:r>
        <w:rPr>
          <w:rFonts w:ascii="Times New Roman" w:hAnsi="Times New Roman"/>
          <w:color w:val="000000"/>
          <w:sz w:val="20"/>
          <w:u w:val="single"/>
        </w:rPr>
        <w:t>Related Party Transactions</w:t>
      </w:r>
      <w:r>
        <w:rPr>
          <w:rFonts w:ascii="Times New Roman" w:hAnsi="Times New Roman"/>
          <w:color w:val="000000"/>
          <w:sz w:val="20"/>
        </w:rPr>
        <w:t>. There are no business relationships or related party transactions involving the Company or any other person required to be described in the Registration Statement, the Disclosure Package and the Prospectus that have not been described as required.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w:t>
      </w:r>
    </w:p>
    <w:p>
      <w:pPr>
        <w:pStyle w:val="TextBody"/>
        <w:bidi w:val="0"/>
        <w:spacing w:before="0" w:after="240"/>
        <w:jc w:val="left"/>
        <w:rPr>
          <w:rFonts w:ascii="Times New Roman" w:hAnsi="Times New Roman"/>
          <w:sz w:val="20"/>
        </w:rPr>
      </w:pPr>
      <w:r>
        <w:rPr>
          <w:rFonts w:ascii="Times New Roman" w:hAnsi="Times New Roman"/>
          <w:color w:val="000000"/>
          <w:sz w:val="20"/>
          <w:u w:val="single"/>
        </w:rPr>
        <w:t>Board of Directors</w:t>
      </w:r>
      <w:r>
        <w:rPr>
          <w:rFonts w:ascii="Times New Roman" w:hAnsi="Times New Roman"/>
          <w:color w:val="000000"/>
          <w:sz w:val="20"/>
        </w:rPr>
        <w:t>. The qualifications of the persons serving as board members and the overall composition of the board comply with the Exchange Act, the Exchange Act Regulations, the Sarbanes-Oxley Act of 2002 and the rules promulgated thereunder (the “</w:t>
      </w:r>
      <w:r>
        <w:rPr>
          <w:rFonts w:ascii="Times New Roman" w:hAnsi="Times New Roman"/>
          <w:color w:val="000000"/>
          <w:sz w:val="20"/>
          <w:u w:val="single"/>
        </w:rPr>
        <w:t>Sarbanes-Oxley Act</w:t>
      </w:r>
      <w:r>
        <w:rPr>
          <w:rFonts w:ascii="Times New Roman" w:hAnsi="Times New Roman"/>
          <w:color w:val="000000"/>
          <w:sz w:val="20"/>
        </w:rPr>
        <w:t>”) applicable to the Company and the listing rules of the Exchange. At least one member of the Audit Committee of the Board of Directors of the Company qualifies as an “audit committee financial expert,” as such term is defined under Regulation S-K and the listing rules of the Exchange. In addition, at least a majority of the persons serving on the Board of Directors qualify as “independent,” as defined under the listing rules of the Exchange.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Z.</w:t>
      </w:r>
    </w:p>
    <w:p>
      <w:pPr>
        <w:pStyle w:val="TextBody"/>
        <w:bidi w:val="0"/>
        <w:spacing w:before="0" w:after="240"/>
        <w:jc w:val="left"/>
        <w:rPr>
          <w:rFonts w:ascii="Times New Roman" w:hAnsi="Times New Roman"/>
          <w:sz w:val="20"/>
        </w:rPr>
      </w:pPr>
      <w:r>
        <w:rPr>
          <w:rFonts w:ascii="Times New Roman" w:hAnsi="Times New Roman"/>
          <w:color w:val="000000"/>
          <w:sz w:val="20"/>
          <w:u w:val="single"/>
        </w:rPr>
        <w:t>Sarbanes-Oxley Compliance</w:t>
      </w:r>
      <w:r>
        <w:rPr>
          <w:rFonts w:ascii="Times New Roman" w:hAnsi="Times New Roman"/>
          <w:color w:val="000000"/>
          <w:sz w:val="20"/>
        </w:rPr>
        <w:t>. Except as set forth in Registration Statement, the Disclosure Package and the Prospectus: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has developed and currently maintains disclosure controls and procedures that will comply with Rule 13a-15 or 15d-15 under the Exchange Act Regulations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applicable to it, and such controls and procedures are effective to ensure that all material information concerning the Company will be made known on a timely basis to the individuals responsible for the preparation of the Company's Exchange Act filings and other public disclosure documents.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is, or at the Initial Sale Time and on the Closing Date will be, in material compliance with the provisions of the Sarbanes-Oxley Act applicable to it, and has implemented or will implement such programs and taken reasonable steps to ensure the Company's future compliance (not later than the relevant statutory and regulatory deadlines therefor) with all of the material provisions of the Sarbanes-Oxley 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AA.</w:t>
      </w:r>
    </w:p>
    <w:p>
      <w:pPr>
        <w:pStyle w:val="TextBody"/>
        <w:bidi w:val="0"/>
        <w:spacing w:before="0" w:after="240"/>
        <w:jc w:val="left"/>
        <w:rPr>
          <w:rFonts w:ascii="Times New Roman" w:hAnsi="Times New Roman"/>
          <w:sz w:val="20"/>
        </w:rPr>
      </w:pPr>
      <w:r>
        <w:rPr>
          <w:rFonts w:ascii="Times New Roman" w:hAnsi="Times New Roman"/>
          <w:color w:val="000000"/>
          <w:sz w:val="20"/>
          <w:u w:val="single"/>
        </w:rPr>
        <w:t>Accounting Controls</w:t>
      </w:r>
      <w:r>
        <w:rPr>
          <w:rFonts w:ascii="Times New Roman" w:hAnsi="Times New Roman"/>
          <w:color w:val="000000"/>
          <w:sz w:val="20"/>
        </w:rPr>
        <w:t>. Except as set forth in Registration Statement, the Disclosure Package and the Prospectus, the Company maintains systems of “internal control over financial reporting” (as defined under Rules 13a-15 and 15d-15 under the Exchange Act Regulations) that comply in all material respects with the requirements of the Exchange Act and have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Disclosure Package and the Prospectus, the Company is not aware of any material weaknesses in its internal controls. The Auditors and the Audit Committee of the Board of Directors of the Company have been advised of: (i) all significant deficiencies and material weaknesses, if any, in the design or operation of internal controls over financial reporting which are known to the Company's management and that have adversely affected or are reasonably likely to adversely affect the Company’s ability to record, process, summarize and report financial information; and (ii) any fraud, if any, known to the Company's management, whether or not material, that involves management or other employees who have a significant role in the Company's internal controls over financial reporting.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BB.</w:t>
      </w:r>
    </w:p>
    <w:p>
      <w:pPr>
        <w:pStyle w:val="TextBody"/>
        <w:bidi w:val="0"/>
        <w:spacing w:before="0" w:after="240"/>
        <w:jc w:val="left"/>
        <w:rPr>
          <w:rFonts w:ascii="Times New Roman" w:hAnsi="Times New Roman"/>
          <w:sz w:val="20"/>
        </w:rPr>
      </w:pPr>
      <w:r>
        <w:rPr>
          <w:rFonts w:ascii="Times New Roman" w:hAnsi="Times New Roman"/>
          <w:color w:val="000000"/>
          <w:sz w:val="20"/>
          <w:u w:val="single"/>
        </w:rPr>
        <w:t>No Investment Company Status</w:t>
      </w:r>
      <w:r>
        <w:rPr>
          <w:rFonts w:ascii="Times New Roman" w:hAnsi="Times New Roman"/>
          <w:color w:val="000000"/>
          <w:sz w:val="20"/>
        </w:rPr>
        <w:t>. The Company is not and, after giving effect to the Offering and the application of the proceeds thereof as described in the Registration Statement, the Disclosure Package and the Prospectus, will not be, required to register as an “investment company,” as defined in the Investment Company Act of 1940, as amended.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CC.</w:t>
      </w:r>
    </w:p>
    <w:p>
      <w:pPr>
        <w:pStyle w:val="TextBody"/>
        <w:bidi w:val="0"/>
        <w:spacing w:before="0" w:after="240"/>
        <w:jc w:val="left"/>
        <w:rPr>
          <w:rFonts w:ascii="Times New Roman" w:hAnsi="Times New Roman"/>
          <w:sz w:val="20"/>
        </w:rPr>
      </w:pPr>
      <w:r>
        <w:rPr>
          <w:rFonts w:ascii="Times New Roman" w:hAnsi="Times New Roman"/>
          <w:color w:val="000000"/>
          <w:sz w:val="20"/>
          <w:u w:val="single"/>
        </w:rPr>
        <w:t>No Labor Disputes</w:t>
      </w:r>
      <w:r>
        <w:rPr>
          <w:rFonts w:ascii="Times New Roman" w:hAnsi="Times New Roman"/>
          <w:color w:val="000000"/>
          <w:sz w:val="20"/>
        </w:rPr>
        <w:t xml:space="preserve">. No labor dispute with the employees of the Company exists or, to the knowledge of the Company, is imminent, except where such dispute would not be expected to have a Material Adverse Change.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DD.</w:t>
      </w:r>
    </w:p>
    <w:p>
      <w:pPr>
        <w:pStyle w:val="TextBody"/>
        <w:bidi w:val="0"/>
        <w:spacing w:before="0" w:after="240"/>
        <w:jc w:val="left"/>
        <w:rPr>
          <w:rFonts w:ascii="Times New Roman" w:hAnsi="Times New Roman"/>
          <w:sz w:val="20"/>
        </w:rPr>
      </w:pPr>
      <w:r>
        <w:rPr>
          <w:rFonts w:ascii="Times New Roman" w:hAnsi="Times New Roman"/>
          <w:color w:val="000000"/>
          <w:sz w:val="20"/>
          <w:u w:val="single"/>
        </w:rPr>
        <w:t>Intellectual Property Rights</w:t>
      </w:r>
      <w:r>
        <w:rPr>
          <w:rFonts w:ascii="Times New Roman" w:hAnsi="Times New Roman"/>
          <w:color w:val="000000"/>
          <w:sz w:val="20"/>
        </w:rPr>
        <w:t>. To the Company's knowledge, the Company has, or can acquire on reasonable terms, ownership of and/or license to, or otherwise has the right to use, all inventions, know-how (including trade secrets and other unpatented and/or unpatentable proprietary or confidential information, systems or procedures), patents and patent rights trademarks, service marks and trade names, copyrights, (collectively “</w:t>
      </w:r>
      <w:r>
        <w:rPr>
          <w:rFonts w:ascii="Times New Roman" w:hAnsi="Times New Roman"/>
          <w:color w:val="000000"/>
          <w:sz w:val="20"/>
          <w:u w:val="single"/>
        </w:rPr>
        <w:t>Intellectual Property</w:t>
      </w:r>
      <w:r>
        <w:rPr>
          <w:rFonts w:ascii="Times New Roman" w:hAnsi="Times New Roman"/>
          <w:color w:val="000000"/>
          <w:sz w:val="20"/>
        </w:rPr>
        <w:t xml:space="preserve">”) material to carrying on its business as described in the Prospectus. The Company has not received any written correspondence relating to (A) infringement or misappropriation of, or conflict with, any Intellectual Property of a third party; (B) asserted rights of others with respect to any Intellectual Property of the Company; or (C) assertions that any Intellectual Property of the Company is invalid or otherwise inadequate to protect the interest of the Company, that in each case (if the subject of any unfavorable decision, ruling or finding), individually or in the aggregate, would have or would reasonably be expected to have a Material Adverse Change. There are no third parties who have been able to establish any material rights to any Intellectual Property, except for the retained rights of the owners or licensors of any Intellectual Property that is licensed to the Company. There is no pending or, to the Company's knowledge, threatened action, suit, proceeding or claim by others: (A) challenging the validity, enforceability or scope of any Intellectual Property of the Company or (B) challenging the Company's rights in or to any Intellectual Property or (C) that the Company materially infringes, misappropriates or otherwise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violates or conflicts with any Intellectual Property or other proprietary rights of others. The Company has complied in all material respects with the terms of each agreement described in the Registration Statement, Disclosure Package or Prospectus pursuant to which any Intellectual Property is licensed to the Company, and all such agreements related to products currently made or sold by the Company, or to product candidates currently under development, are in full force and effect. All patents issued in the name of, or assigned to, the Company, and all patent applications made by or on behalf of the Company (collectively, the “</w:t>
      </w:r>
      <w:r>
        <w:rPr>
          <w:rFonts w:ascii="Times New Roman" w:hAnsi="Times New Roman"/>
          <w:color w:val="000000"/>
          <w:sz w:val="20"/>
          <w:u w:val="single"/>
        </w:rPr>
        <w:t>Company Patents</w:t>
      </w:r>
      <w:r>
        <w:rPr>
          <w:rFonts w:ascii="Times New Roman" w:hAnsi="Times New Roman"/>
          <w:color w:val="000000"/>
          <w:sz w:val="20"/>
        </w:rPr>
        <w:t>”) have been duly and properly filed. The Company is not aware of any material information that was required to be disclosed to the United States Patent and Trademark Office (the “</w:t>
      </w:r>
      <w:r>
        <w:rPr>
          <w:rFonts w:ascii="Times New Roman" w:hAnsi="Times New Roman"/>
          <w:color w:val="000000"/>
          <w:sz w:val="20"/>
          <w:u w:val="single"/>
        </w:rPr>
        <w:t>PTO</w:t>
      </w:r>
      <w:r>
        <w:rPr>
          <w:rFonts w:ascii="Times New Roman" w:hAnsi="Times New Roman"/>
          <w:color w:val="000000"/>
          <w:sz w:val="20"/>
        </w:rPr>
        <w:t>”) but that was not disclosed to the PTO with respect to any issued Company Patent, or that is required to be disclosed and has not yet been disclosed in any pending application in the Company Patents and that would preclude the grant of a patent on such application. To the Company's knowledge, the Company is the sole owner of the Company Patents.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EE.</w:t>
      </w:r>
    </w:p>
    <w:p>
      <w:pPr>
        <w:pStyle w:val="TextBody"/>
        <w:bidi w:val="0"/>
        <w:spacing w:before="0" w:after="240"/>
        <w:jc w:val="left"/>
        <w:rPr>
          <w:rFonts w:ascii="Times New Roman" w:hAnsi="Times New Roman"/>
          <w:sz w:val="20"/>
        </w:rPr>
      </w:pPr>
      <w:r>
        <w:rPr>
          <w:rFonts w:ascii="Times New Roman" w:hAnsi="Times New Roman"/>
          <w:color w:val="000000"/>
          <w:sz w:val="20"/>
          <w:u w:val="single"/>
        </w:rPr>
        <w:t>Taxes</w:t>
      </w:r>
      <w:r>
        <w:rPr>
          <w:rFonts w:ascii="Times New Roman" w:hAnsi="Times New Roman"/>
          <w:color w:val="000000"/>
          <w:sz w:val="20"/>
        </w:rPr>
        <w:t>. The Company has filed all returns (as hereinafter defined) required to be filed with taxing authorities prior to the date hereof or has duly obtained extensions of time for the filing thereof. The Company has paid all material taxes (as hereinafter defined) shown as due on such returns that were filed and has paid all material taxes imposed on or assessed against the Company, except for such exceptions as could not be expected, individually or in the aggregate, to have a Material Adverse Change.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Except as disclosed in writing to the Placement Agent, (i) no issues have been raised (and are currently pending) by any taxing authority in connection with any of the returns or taxes asserted as due from the Company, and (ii) no waivers of statutes of limitation with respect to the returns or collection of taxes have been given by or requested from the Company. The term “taxes”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“returns” means all returns, declarations, reports, statements and other documents required to be filed in respect to taxes.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FF.</w:t>
      </w:r>
    </w:p>
    <w:p>
      <w:pPr>
        <w:pStyle w:val="TextBody"/>
        <w:bidi w:val="0"/>
        <w:spacing w:before="0" w:after="240"/>
        <w:jc w:val="left"/>
        <w:rPr>
          <w:rFonts w:ascii="Times New Roman" w:hAnsi="Times New Roman"/>
          <w:sz w:val="20"/>
        </w:rPr>
      </w:pPr>
      <w:r>
        <w:rPr>
          <w:rFonts w:ascii="Times New Roman" w:hAnsi="Times New Roman"/>
          <w:color w:val="000000"/>
          <w:sz w:val="20"/>
          <w:u w:val="single"/>
        </w:rPr>
        <w:t>Employee Benefit Laws</w:t>
      </w:r>
      <w:r>
        <w:rPr>
          <w:rFonts w:ascii="Times New Roman" w:hAnsi="Times New Roman"/>
          <w:color w:val="000000"/>
          <w:sz w:val="20"/>
        </w:rPr>
        <w:t>. To the extent applicable, the operations of the Company and its subsidiaries are and have been conducted at all times in material compliance with the Employee Retirement Income Security Act of 1974, as amended, the rules and regulations thereunder and any applicable related or similar rules, regulations or guidelines, issued, administered or enforced by any governmental agency (collectively, the “</w:t>
      </w:r>
      <w:r>
        <w:rPr>
          <w:rFonts w:ascii="Times New Roman" w:hAnsi="Times New Roman"/>
          <w:color w:val="000000"/>
          <w:sz w:val="20"/>
          <w:u w:val="single"/>
        </w:rPr>
        <w:t>Employee Benefit Laws</w:t>
      </w:r>
      <w:r>
        <w:rPr>
          <w:rFonts w:ascii="Times New Roman" w:hAnsi="Times New Roman"/>
          <w:color w:val="000000"/>
          <w:sz w:val="20"/>
        </w:rPr>
        <w:t>”) and no action, suit or proceeding by or before any court or governmental agency, authority or body or any arbitrator involving the Company or its subsidiaries with respect to the Employee Benefit Laws is pending or, to the knowledge of the Company, threatened.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GG.</w:t>
      </w:r>
    </w:p>
    <w:p>
      <w:pPr>
        <w:pStyle w:val="TextBody"/>
        <w:bidi w:val="0"/>
        <w:spacing w:before="0" w:after="240"/>
        <w:jc w:val="left"/>
        <w:rPr>
          <w:rFonts w:ascii="Times New Roman" w:hAnsi="Times New Roman"/>
          <w:sz w:val="20"/>
        </w:rPr>
      </w:pPr>
      <w:r>
        <w:rPr>
          <w:rFonts w:ascii="Times New Roman" w:hAnsi="Times New Roman"/>
          <w:color w:val="000000"/>
          <w:sz w:val="20"/>
          <w:u w:val="single"/>
        </w:rPr>
        <w:t>Compliance with Laws</w:t>
      </w:r>
      <w:r>
        <w:rPr>
          <w:rFonts w:ascii="Times New Roman" w:hAnsi="Times New Roman"/>
          <w:color w:val="000000"/>
          <w:sz w:val="20"/>
        </w:rPr>
        <w:t xml:space="preserve">. The Company: (A) is and at all times has been in compliance with all Applicable Laws, except as would not, individually or in the aggregate, reasonably be expected to have a Material Adverse Change; (B) has not received any correspondence from any Governmental Entity alleging or asserting noncompliance with any Applicable Laws or any Authorizations; (C) possesses all material Authorizations and such Authorizations are valid and in full force and effect and the Company is not in material violation of any term of any such Authorizations, in each case except as would not, individually or in the aggregate, reasonably be expected to have a Material Adverse Change; (D) has not received written notice of any claim, action, suit, proceeding, hearing, enforcement, investigation, arbitration or other action from any Governmental Entity or third party alleging that any product operation or activity is in violation of any Applicable Laws or Authorizations and has no knowledge that any such Governmental Entity or third party is considering any such claim, litigation, arbitration, action, suit, investigation or proceeding; (E) has not received written notice that any Governmental Entity has taken, is taking or intends to take action to limit, suspend, modify or revoke any Authorizations;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in all material respects on the date filed (or were corrected or supplemented by a subsequent submission); and (G) has not, either voluntarily or involuntarily, initiated, conducted, or issued or caused to be initiated, conducted or issued, any recall, market withdrawal or replacement, safety alert, post-sale warning, “dear doctor” letter, or other notice or action relating to the alleged lack of safety or efficacy of any product or any alleged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product defect or violation and, to the Company's knowledge, no third party has initiated, conducted or intends to initiate any such notice or action.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HH.</w:t>
      </w:r>
    </w:p>
    <w:p>
      <w:pPr>
        <w:pStyle w:val="TextBody"/>
        <w:bidi w:val="0"/>
        <w:spacing w:before="0" w:after="240"/>
        <w:jc w:val="left"/>
        <w:rPr>
          <w:rFonts w:ascii="Times New Roman" w:hAnsi="Times New Roman"/>
          <w:sz w:val="20"/>
        </w:rPr>
      </w:pPr>
      <w:r>
        <w:rPr>
          <w:rFonts w:ascii="Times New Roman" w:hAnsi="Times New Roman"/>
          <w:color w:val="000000"/>
          <w:sz w:val="20"/>
          <w:u w:val="single"/>
        </w:rPr>
        <w:t>Preclinical Tests, Clinical Tests and Regulatory Compliance</w:t>
      </w:r>
      <w:r>
        <w:rPr>
          <w:rFonts w:ascii="Times New Roman" w:hAnsi="Times New Roman"/>
          <w:color w:val="000000"/>
          <w:sz w:val="20"/>
        </w:rPr>
        <w:t>. The preclinical tests and clinical trials, and other studies (collectively, “</w:t>
      </w:r>
      <w:r>
        <w:rPr>
          <w:rFonts w:ascii="Times New Roman" w:hAnsi="Times New Roman"/>
          <w:color w:val="000000"/>
          <w:sz w:val="20"/>
          <w:u w:val="single"/>
        </w:rPr>
        <w:t>Studies</w:t>
      </w:r>
      <w:r>
        <w:rPr>
          <w:rFonts w:ascii="Times New Roman" w:hAnsi="Times New Roman"/>
          <w:color w:val="000000"/>
          <w:sz w:val="20"/>
        </w:rPr>
        <w:t>”) that are described in, or the results of which are referred to in, the Registration Statement or the Prospectus were and, if still pending, are being conducted in all material respects in accordance with the protocols, procedures and controls designed and approved for such Studies; each description of the results of such Studies is accurate in all material respects and fairly presents the data derived from such Studies, and the Company and its subsidiaries have no knowledge of any other studies the results of which are inconsistent with the results described or referred to in the Registration Statement or the Prospectus; the Company and its subsidiaries have made all such filings and obtained all such clearances, approvals or exemptions as are required by the Food and Drug Administration of the U.S. Department of Health and Human Services (“</w:t>
      </w:r>
      <w:r>
        <w:rPr>
          <w:rFonts w:ascii="Times New Roman" w:hAnsi="Times New Roman"/>
          <w:color w:val="000000"/>
          <w:sz w:val="20"/>
          <w:u w:val="single"/>
        </w:rPr>
        <w:t>FDA</w:t>
      </w:r>
      <w:r>
        <w:rPr>
          <w:rFonts w:ascii="Times New Roman" w:hAnsi="Times New Roman"/>
          <w:color w:val="000000"/>
          <w:sz w:val="20"/>
        </w:rPr>
        <w:t>”) or any committee thereof or from any other U.S. or foreign medical device regulatory agency, or a health care facility Institutional Review Board (collectively, the “</w:t>
      </w:r>
      <w:r>
        <w:rPr>
          <w:rFonts w:ascii="Times New Roman" w:hAnsi="Times New Roman"/>
          <w:color w:val="000000"/>
          <w:sz w:val="20"/>
          <w:u w:val="single"/>
        </w:rPr>
        <w:t>Regulatory Agencies</w:t>
      </w:r>
      <w:r>
        <w:rPr>
          <w:rFonts w:ascii="Times New Roman" w:hAnsi="Times New Roman"/>
          <w:color w:val="000000"/>
          <w:sz w:val="20"/>
        </w:rPr>
        <w:t>”); the Company has not committed any act, made any statement or failed to make any statement that would reasonably be expected to provide a basis for the FDA or any other Regulatory Agencies to invoke its policy with respect to “Fraud, Untrue Statements of Material Facts, Bribery, and Illegal Gratuities”, or similar policies, set forth in any applicable U.S. or foreign laws; and neither the Company nor any of its subsidiaries has received any written notice of, or written correspondence from, any Regulatory Agency requiring the termination, suspension or modification of any clinical trials that are described or referred to in the Registration Statement, the Time of Sale Prospectus or the Prospectus.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rFonts w:ascii="Times New Roman" w:hAnsi="Times New Roman"/>
          <w:sz w:val="20"/>
        </w:rPr>
      </w:pPr>
      <w:r>
        <w:rPr>
          <w:rFonts w:ascii="Times New Roman" w:hAnsi="Times New Roman"/>
          <w:color w:val="000000"/>
          <w:sz w:val="20"/>
          <w:u w:val="single"/>
        </w:rPr>
        <w:t>Compliance with Health Care Laws</w:t>
      </w:r>
      <w:r>
        <w:rPr>
          <w:rFonts w:ascii="Times New Roman" w:hAnsi="Times New Roman"/>
          <w:color w:val="000000"/>
          <w:sz w:val="20"/>
        </w:rPr>
        <w:t>. The Company and its subsidiaries are, and at all times in the last five years have been, in compliance in all material respects with all applicable Health Care Laws. For purposes of this Agreement, “</w:t>
      </w:r>
      <w:r>
        <w:rPr>
          <w:rFonts w:ascii="Times New Roman" w:hAnsi="Times New Roman"/>
          <w:color w:val="000000"/>
          <w:sz w:val="20"/>
          <w:u w:val="single"/>
        </w:rPr>
        <w:t>Health Care Laws</w:t>
      </w:r>
      <w:r>
        <w:rPr>
          <w:rFonts w:ascii="Times New Roman" w:hAnsi="Times New Roman"/>
          <w:color w:val="000000"/>
          <w:sz w:val="20"/>
        </w:rPr>
        <w:t>” means the applicable provisions of the following: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w:t>
      </w:r>
      <w:r>
        <w:rPr>
          <w:rFonts w:ascii="Times New Roman" w:hAnsi="Times New Roman"/>
          <w:color w:val="000000"/>
          <w:sz w:val="20"/>
          <w:u w:val="single"/>
        </w:rPr>
        <w:t>HIPAA</w:t>
      </w:r>
      <w:r>
        <w:rPr>
          <w:rFonts w:ascii="Times New Roman" w:hAnsi="Times New Roman"/>
          <w:color w:val="000000"/>
          <w:sz w:val="20"/>
        </w:rPr>
        <w:t>”) (42 U.S.C. Section 1320d et seq.), the Stark Law (42 U.S.C. Section 1395nn), the civil monetary penalties law (42 U.S.C. Section 1320a-7a), the exclusion law (42 U.S.C. Section 1320a-7), the U.S. Physician Payments Sunshine Act (42 U.S.C. Section 1320a-7h), and applicable laws governing all government funded or sponsored healthcare programs; (iii) HIPAA, as amended by the Health Information Technology for Economic and Clinical Health Act (42 U.S.C. Section 17921 et seq.); (iv) European Union Council Directive 93/42/EEC (the Medical Device Directive “</w:t>
      </w:r>
      <w:r>
        <w:rPr>
          <w:rFonts w:ascii="Times New Roman" w:hAnsi="Times New Roman"/>
          <w:color w:val="000000"/>
          <w:sz w:val="20"/>
          <w:u w:val="single"/>
        </w:rPr>
        <w:t>MDD</w:t>
      </w:r>
      <w:r>
        <w:rPr>
          <w:rFonts w:ascii="Times New Roman" w:hAnsi="Times New Roman"/>
          <w:color w:val="000000"/>
          <w:sz w:val="20"/>
        </w:rPr>
        <w:t>”) and European Union Regulation No. 2017/745 (the Medical Devices Regulation “</w:t>
      </w:r>
      <w:r>
        <w:rPr>
          <w:rFonts w:ascii="Times New Roman" w:hAnsi="Times New Roman"/>
          <w:color w:val="000000"/>
          <w:sz w:val="20"/>
          <w:u w:val="single"/>
        </w:rPr>
        <w:t>MDR</w:t>
      </w:r>
      <w:r>
        <w:rPr>
          <w:rFonts w:ascii="Times New Roman" w:hAnsi="Times New Roman"/>
          <w:color w:val="000000"/>
          <w:sz w:val="20"/>
        </w:rPr>
        <w:t xml:space="preserve">”), in each case as applicable; (v) licensure, quality, safety and accreditation requirements under all applicable federal, state, local or foreign laws or regulatory bodies; and all other local, state, federal, national, supranational and all other applicable foreign laws, relating to the regulation of the Company or its subsidiaries, and (vi) the regulations promulgated pursuant to such statutes and any state or non-U.S. counterpart thereof. Neither the Company nor any of its subsidiaries has received written notice of any claim, action, suit, proceeding, hearing, enforcement, investigation, arbitration or other action from any U.S. or foreign equivalent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to be filed, maintained or submitted by any Health Care Laws in connection with the development, manufacture and commercialization of the Company’s products,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nor any of its subsidiaries or any of their respective employees, officers, directors, nor, to the knowledge of the Company, agents has been excluded, suspended or debarred from participation in any U.S. federal health care program or human clinical research or, to the knowledge of the Company, is subject to a governmental inquiry, investigation,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proceeding, or other similar action that would reasonably be expected to result in debarment, suspension, or exclusion.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JJ.</w:t>
      </w:r>
    </w:p>
    <w:p>
      <w:pPr>
        <w:pStyle w:val="TextBody"/>
        <w:bidi w:val="0"/>
        <w:spacing w:before="0" w:after="240"/>
        <w:jc w:val="left"/>
        <w:rPr>
          <w:rFonts w:ascii="Times New Roman" w:hAnsi="Times New Roman"/>
          <w:sz w:val="20"/>
        </w:rPr>
      </w:pPr>
      <w:r>
        <w:rPr>
          <w:rFonts w:ascii="Times New Roman" w:hAnsi="Times New Roman"/>
          <w:color w:val="000000"/>
          <w:sz w:val="20"/>
          <w:u w:val="single"/>
        </w:rPr>
        <w:t>Healthcare Care Product Manufacturing Compliance</w:t>
      </w:r>
      <w:r>
        <w:rPr>
          <w:rFonts w:ascii="Times New Roman" w:hAnsi="Times New Roman"/>
          <w:color w:val="000000"/>
          <w:sz w:val="20"/>
        </w:rPr>
        <w:t>. The manufacture of the Company’s and its subsidiaries’ products and product candidates by or on behalf of the Company and its subsidiaries is being conducted in compliance in all material respects with all applicable Health Care Laws, including, without limitation, (i) the FDA’s current good manufacturing practice regulations at 21 CFR Part 820, (ii) ISO 13485:2016, MDD, or MDR, in each case to the extent applicable, and, (iii) to the extent applicable, all the respective counterparts thereof promulgated by Regulatory Agencies in countries outside the United States. Neither the Company nor any of its subsidiaries has had, to the extent applicable to the Company’s or its subsidiaries’ products and product candidates, any manufacturing site (whether Company-owned, subsidiary-owned or, to the Company’s knowledge, that of a third party manufacturer for the Company’s or its subsidiaries’ product candidates) subject to a Regulatory Agency’s (including the FDA or EMA) shutdown or import or export prohibition, nor received any FDA, EMA or other Regulatory Agencies “warning letters,” or “untitled letters” alleging or asserting material noncompliance with any applicable Health Care Laws, written requests to make material changes to the Company’s or its subsidiaries’ product candidates, processes or operations, or other similar written correspondence or notice from the FDA, EMA or other Regulatory Agencies alleging or asserting material noncompliance with any applicable Health Care Laws, other than those that have been satisfactorily addressed and/or closed with the FDA, EMA or other Regulatory Agencies. To the knowledge of the Company, neither the FDA, EMA or any other Regulatory Agencies is considering such action.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KK.</w:t>
      </w:r>
    </w:p>
    <w:p>
      <w:pPr>
        <w:pStyle w:val="TextBody"/>
        <w:bidi w:val="0"/>
        <w:spacing w:before="0" w:after="240"/>
        <w:jc w:val="left"/>
        <w:rPr>
          <w:rFonts w:ascii="Times New Roman" w:hAnsi="Times New Roman"/>
          <w:sz w:val="20"/>
        </w:rPr>
      </w:pPr>
      <w:r>
        <w:rPr>
          <w:rFonts w:ascii="Times New Roman" w:hAnsi="Times New Roman"/>
          <w:color w:val="000000"/>
          <w:sz w:val="20"/>
          <w:u w:val="single"/>
        </w:rPr>
        <w:t>Industry Data</w:t>
      </w:r>
      <w:r>
        <w:rPr>
          <w:rFonts w:ascii="Times New Roman" w:hAnsi="Times New Roman"/>
          <w:color w:val="000000"/>
          <w:sz w:val="20"/>
        </w:rPr>
        <w:t>. The statistical and market-related data included in each of the Registration Statement, the Disclosure Package and the Prospectus are based on or derived from sources that the Company reasonably and in good faith believes are reliable and accurate or represent the Company's good faith estimates that are made on the basis of data derived from such sources.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LL.</w:t>
      </w:r>
    </w:p>
    <w:p>
      <w:pPr>
        <w:pStyle w:val="TextBody"/>
        <w:bidi w:val="0"/>
        <w:spacing w:before="0" w:after="240"/>
        <w:jc w:val="left"/>
        <w:rPr>
          <w:rFonts w:ascii="Times New Roman" w:hAnsi="Times New Roman"/>
          <w:sz w:val="20"/>
        </w:rPr>
      </w:pPr>
      <w:r>
        <w:rPr>
          <w:rFonts w:ascii="Times New Roman" w:hAnsi="Times New Roman"/>
          <w:color w:val="000000"/>
          <w:sz w:val="20"/>
          <w:u w:val="single"/>
        </w:rPr>
        <w:t>Forward-Looking Statements</w:t>
      </w:r>
      <w:r>
        <w:rPr>
          <w:rFonts w:ascii="Times New Roman" w:hAnsi="Times New Roman"/>
          <w:color w:val="000000"/>
          <w:sz w:val="20"/>
        </w:rPr>
        <w:t>. No forward-looking statement (within the meaning of Section 27A of the Securities Act and Section 21E of the Exchange Act) contained in the Registration Statement, the Disclosure Package or the Prospectus has been made or reaffirmed without a reasonable basis or has been disclosed other than in good faith.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MM.</w:t>
      </w:r>
    </w:p>
    <w:p>
      <w:pPr>
        <w:pStyle w:val="TextBody"/>
        <w:bidi w:val="0"/>
        <w:spacing w:before="0" w:after="240"/>
        <w:jc w:val="left"/>
        <w:rPr>
          <w:rFonts w:ascii="Times New Roman" w:hAnsi="Times New Roman"/>
          <w:sz w:val="20"/>
        </w:rPr>
      </w:pPr>
      <w:r>
        <w:rPr>
          <w:rFonts w:ascii="Times New Roman" w:hAnsi="Times New Roman"/>
          <w:color w:val="000000"/>
          <w:sz w:val="20"/>
          <w:u w:val="single"/>
        </w:rPr>
        <w:t>Margin Securities</w:t>
      </w:r>
      <w:r>
        <w:rPr>
          <w:rFonts w:ascii="Times New Roman" w:hAnsi="Times New Roman"/>
          <w:color w:val="000000"/>
          <w:sz w:val="20"/>
        </w:rPr>
        <w:t>. The Company owns no “margin securities” as that term is defined in Regulation U of the Board of Governors of the Federal Reserve System (the “</w:t>
      </w:r>
      <w:r>
        <w:rPr>
          <w:rFonts w:ascii="Times New Roman" w:hAnsi="Times New Roman"/>
          <w:color w:val="000000"/>
          <w:sz w:val="20"/>
          <w:u w:val="single"/>
        </w:rPr>
        <w:t>Federal Reserve Board</w:t>
      </w:r>
      <w:r>
        <w:rPr>
          <w:rFonts w:ascii="Times New Roman" w:hAnsi="Times New Roman"/>
          <w:color w:val="000000"/>
          <w:sz w:val="20"/>
        </w:rPr>
        <w:t xml:space="preserve">”), and none of the proceeds of Offering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shares of Common Stock to be considered a “purpose credit” within the meanings of Regulation T, U or X of the Federal Reserve Board.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NN.</w:t>
      </w:r>
    </w:p>
    <w:p>
      <w:pPr>
        <w:pStyle w:val="TextBody"/>
        <w:bidi w:val="0"/>
        <w:spacing w:before="0" w:after="240"/>
        <w:jc w:val="left"/>
        <w:rPr>
          <w:rFonts w:ascii="Times New Roman" w:hAnsi="Times New Roman"/>
          <w:sz w:val="20"/>
        </w:rPr>
      </w:pPr>
      <w:r>
        <w:rPr>
          <w:rFonts w:ascii="Times New Roman" w:hAnsi="Times New Roman"/>
          <w:color w:val="000000"/>
          <w:sz w:val="20"/>
          <w:u w:val="single"/>
        </w:rPr>
        <w:t>Integration</w:t>
      </w:r>
      <w:r>
        <w:rPr>
          <w:rFonts w:ascii="Times New Roman" w:hAnsi="Times New Roman"/>
          <w:color w:val="000000"/>
          <w:sz w:val="20"/>
        </w:rPr>
        <w:t>. Neither the Company, nor any of its affiliates, nor any person acting on its or their behalf has, directly or indirectly, made any offers or sales of any security or solicited any offers to buy any security, under circumstances that would cause the Offering to be integrated with prior offerings by the Company for purposes of the Securities Act that would require the registration of any such securities under the Securities 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OO.</w:t>
      </w:r>
    </w:p>
    <w:p>
      <w:pPr>
        <w:pStyle w:val="TextBody"/>
        <w:bidi w:val="0"/>
        <w:spacing w:before="0" w:after="240"/>
        <w:jc w:val="left"/>
        <w:rPr>
          <w:rFonts w:ascii="Times New Roman" w:hAnsi="Times New Roman"/>
          <w:sz w:val="20"/>
        </w:rPr>
      </w:pPr>
      <w:r>
        <w:rPr>
          <w:rFonts w:ascii="Times New Roman" w:hAnsi="Times New Roman"/>
          <w:color w:val="000000"/>
          <w:sz w:val="20"/>
          <w:u w:val="single"/>
        </w:rPr>
        <w:t>Confidentiality and Non-Competition</w:t>
      </w:r>
      <w:r>
        <w:rPr>
          <w:rFonts w:ascii="Times New Roman" w:hAnsi="Times New Roman"/>
          <w:color w:val="000000"/>
          <w:sz w:val="20"/>
        </w:rPr>
        <w:t>. To the Company's knowledge, no director, officer, key employee or consultant of the Company is subject to any confidentiality, non-disclosure, non-competition agreement or non-solicitation agreement with any employer or prior employer that could reasonably be expected to materially affect his ability to be and act in his respective capacity of the Company or be expected to result in a Material Adverse Change.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PP.</w:t>
      </w:r>
    </w:p>
    <w:p>
      <w:pPr>
        <w:pStyle w:val="TextBody"/>
        <w:bidi w:val="0"/>
        <w:spacing w:before="0" w:after="240"/>
        <w:jc w:val="left"/>
        <w:rPr>
          <w:rFonts w:ascii="Times New Roman" w:hAnsi="Times New Roman"/>
          <w:sz w:val="20"/>
        </w:rPr>
      </w:pPr>
      <w:r>
        <w:rPr>
          <w:rFonts w:ascii="Times New Roman" w:hAnsi="Times New Roman"/>
          <w:color w:val="000000"/>
          <w:sz w:val="20"/>
          <w:u w:val="single"/>
        </w:rPr>
        <w:t>Restriction on Sales of Capital Stock</w:t>
      </w:r>
      <w:r>
        <w:rPr>
          <w:rFonts w:ascii="Times New Roman" w:hAnsi="Times New Roman"/>
          <w:color w:val="000000"/>
          <w:sz w:val="20"/>
        </w:rPr>
        <w:t>. The Company, on behalf of itself and any successor entity, agrees that it will not, for a period of fifteen (15) days from the date of the Offering (the “</w:t>
      </w:r>
      <w:r>
        <w:rPr>
          <w:rFonts w:ascii="Times New Roman" w:hAnsi="Times New Roman"/>
          <w:color w:val="000000"/>
          <w:sz w:val="20"/>
          <w:u w:val="single"/>
        </w:rPr>
        <w:t>Lock-Up Period</w:t>
      </w:r>
      <w:r>
        <w:rPr>
          <w:rFonts w:ascii="Times New Roman" w:hAnsi="Times New Roman"/>
          <w:color w:val="000000"/>
          <w:sz w:val="20"/>
        </w:rPr>
        <w:t xml:space="preserve">”), without the prior written consent of the Placement Agent (i)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shares of capital stock of the Company; (ii) file or cause to be filed any registration statement with the Commission relating to the offering of any shares of capital stock of the Company or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securities convertible into or exercisable or exchangeable for shares of capital stock of the Company, other than (A) pursuant to a registration statement on Form S-8 for employee benefit plans (B) the filing of any amendment or supplement to any existing registration statement solely for the purpose of revising any required disclosure in such registration statement and not for the purpose of increasing the offering size pursuant to such registration statement, or (C) any registration statement and amendments thereto in connection with any outstanding convertible securities on the date hereof, whether any such transaction described in clause (i) or (ii) above is to be settled by delivery of shares of capital stock of the Company or such other securities, in cash or otherwise; or (iii) publicly announce an intention to effect any transaction specified in clause (i) or (ii), whether any such transaction is to be settled by delivery of shares of capital stock of the Company or such other securities, in cash or otherwise. The restrictions contained in this section shall not apply to (i) the issuance by the Company of Common Stock upon the exercise of stock options, warrants or the conversion of a security, in each case, that is outstanding on the date hereof (ii) Securities issued in the Offering or upon conversion or exercise of Securities issued in the Offering, (iii) the grant by the Company of stock options or other stock-based awards, or the issuance of shares of capital stock of the Company under any stock compensation plan of the Company in effect on the date hereof, or (iv) the utilization or undertaking of any At-the-Market (ATM) offering or registration statement.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QQ.</w:t>
      </w:r>
    </w:p>
    <w:p>
      <w:pPr>
        <w:pStyle w:val="TextBody"/>
        <w:bidi w:val="0"/>
        <w:spacing w:before="0" w:after="240"/>
        <w:jc w:val="left"/>
        <w:rPr>
          <w:rFonts w:ascii="Times New Roman" w:hAnsi="Times New Roman"/>
          <w:sz w:val="20"/>
        </w:rPr>
      </w:pPr>
      <w:r>
        <w:rPr>
          <w:rFonts w:ascii="Times New Roman" w:hAnsi="Times New Roman"/>
          <w:color w:val="000000"/>
          <w:sz w:val="20"/>
          <w:u w:val="single"/>
        </w:rPr>
        <w:t>Lock-Up Agreements</w:t>
      </w:r>
      <w:r>
        <w:rPr>
          <w:rFonts w:ascii="Times New Roman" w:hAnsi="Times New Roman"/>
          <w:color w:val="000000"/>
          <w:sz w:val="20"/>
        </w:rPr>
        <w:t>. The Company has caused each of its officers and directors to deliver to the Placement Agent an executed Lock-Up Agreement, in such form as approved by the Placement Agent, covering a period of fifteen (15) days from the date of the Offering (the “</w:t>
      </w:r>
      <w:r>
        <w:rPr>
          <w:rFonts w:ascii="Times New Roman" w:hAnsi="Times New Roman"/>
          <w:color w:val="000000"/>
          <w:sz w:val="20"/>
          <w:u w:val="single"/>
        </w:rPr>
        <w:t>Lock-Up Agreement</w:t>
      </w:r>
      <w:r>
        <w:rPr>
          <w:rFonts w:ascii="Times New Roman" w:hAnsi="Times New Roman"/>
          <w:color w:val="000000"/>
          <w:sz w:val="20"/>
        </w:rPr>
        <w:t>”), prior to the execution of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Conditions of the Obligations of the Placement Agent.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obligations of the Placement Agent hereunder shall be subject to the accuracy of the representations and warranties on the part of the Company set forth in Section 7 hereof, in each case as of the date hereof and as of the Closing Date as though then made, to the timely performance by each of the Company of its covenants and other obligations hereunder on and as of such dates, and to each of the following additional conditions: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sz w:val="20"/>
        </w:rPr>
      </w:pPr>
      <w:r>
        <w:rPr>
          <w:rFonts w:ascii="Times New Roman" w:hAnsi="Times New Roman"/>
          <w:color w:val="000000"/>
          <w:sz w:val="20"/>
          <w:u w:val="single"/>
        </w:rPr>
        <w:t>Regulatory Matters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sz w:val="20"/>
        </w:rPr>
      </w:pPr>
      <w:r>
        <w:rPr>
          <w:rFonts w:ascii="Times New Roman" w:hAnsi="Times New Roman"/>
          <w:color w:val="000000"/>
          <w:sz w:val="20"/>
          <w:u w:val="single"/>
        </w:rPr>
        <w:t>Effectiveness of Registration Statement; Rule 424 Information</w:t>
      </w:r>
      <w:r>
        <w:rPr>
          <w:rFonts w:ascii="Times New Roman" w:hAnsi="Times New Roman"/>
          <w:color w:val="000000"/>
          <w:sz w:val="20"/>
        </w:rPr>
        <w:t>. The Registration Statement is effective on the date of this Agreement, and, on the Closing Date no stop order suspending the effectiveness of the Registration Statement or any post-effective amendment thereto has been issued under the Securities Act, no order preventing or suspending the use of any Preliminary Prospectus or the Prospectus has been issued and no proceedings for any of those purposes have been instituted or are pending or, to the Company’s knowledge, contemplated by the Commission. The Company has complied with each request (if any) from the Commission for additional information. All filings with the Commission required by Rule 424 under the Securities Act to have been filed by the Closing Date, shall have been made within the applicable time period prescribed for such filing by Rule 424.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rFonts w:ascii="Times New Roman" w:hAnsi="Times New Roman"/>
          <w:sz w:val="20"/>
        </w:rPr>
      </w:pPr>
      <w:r>
        <w:rPr>
          <w:rFonts w:ascii="Times New Roman" w:hAnsi="Times New Roman"/>
          <w:color w:val="000000"/>
          <w:sz w:val="20"/>
          <w:u w:val="single"/>
        </w:rPr>
        <w:t>FINRA Clearance</w:t>
      </w:r>
      <w:r>
        <w:rPr>
          <w:rFonts w:ascii="Times New Roman" w:hAnsi="Times New Roman"/>
          <w:color w:val="000000"/>
          <w:sz w:val="20"/>
        </w:rPr>
        <w:t>. On or before the Closing Date of this Agreement, the Placement Agent shall have received clearance from FINRA as to the amount of compensation allowable or payable to the Placement Agent as described in the Registration Statement.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left"/>
        <w:rPr>
          <w:rFonts w:ascii="Times New Roman" w:hAnsi="Times New Roman"/>
          <w:sz w:val="20"/>
        </w:rPr>
      </w:pPr>
      <w:r>
        <w:rPr>
          <w:rFonts w:ascii="Times New Roman" w:hAnsi="Times New Roman"/>
          <w:color w:val="000000"/>
          <w:sz w:val="20"/>
          <w:u w:val="single"/>
        </w:rPr>
        <w:t>Listing of Additional Shares</w:t>
      </w:r>
      <w:r>
        <w:rPr>
          <w:rFonts w:ascii="Times New Roman" w:hAnsi="Times New Roman"/>
          <w:color w:val="000000"/>
          <w:sz w:val="20"/>
        </w:rPr>
        <w:t>. On or before the Closing Date of this Agreement, the Company shall have submitted to The Nasdaq Stock Market, Inc. the Company’s application for the additional listing of the securities sold in the Offering.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sz w:val="20"/>
        </w:rPr>
      </w:pPr>
      <w:r>
        <w:rPr>
          <w:rFonts w:ascii="Times New Roman" w:hAnsi="Times New Roman"/>
          <w:color w:val="000000"/>
          <w:sz w:val="20"/>
          <w:u w:val="single"/>
        </w:rPr>
        <w:t>Company Counsel Matters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the Closing Date, the Placement Agent shall have received the favorable opinion of Sichenzia Ross Ference Carmel LLP, outside counsel for the Company, dated the Closing Date and addressed to the Placement Agent, substantially in form and substance reasonably satisfactory to the Placement Agent.</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sz w:val="20"/>
        </w:rPr>
      </w:pP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sz w:val="20"/>
        </w:rPr>
      </w:pPr>
      <w:r>
        <w:rPr>
          <w:rFonts w:ascii="Times New Roman" w:hAnsi="Times New Roman"/>
          <w:color w:val="000000"/>
          <w:sz w:val="20"/>
          <w:u w:val="single"/>
        </w:rPr>
        <w:t>Officers’ Certificates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left"/>
        <w:rPr>
          <w:rFonts w:ascii="Times New Roman" w:hAnsi="Times New Roman"/>
          <w:sz w:val="20"/>
        </w:rPr>
      </w:pPr>
      <w:r>
        <w:rPr>
          <w:rFonts w:ascii="Times New Roman" w:hAnsi="Times New Roman"/>
          <w:color w:val="000000"/>
          <w:sz w:val="20"/>
          <w:u w:val="single"/>
        </w:rPr>
        <w:t>Officers’ Certificate</w:t>
      </w:r>
      <w:r>
        <w:rPr>
          <w:rFonts w:ascii="Times New Roman" w:hAnsi="Times New Roman"/>
          <w:color w:val="000000"/>
          <w:sz w:val="20"/>
        </w:rPr>
        <w:t>. The Company shall have furnished to the Placement Agent a certificate, dated the Closing Date, of its Chief Executive Officer and its Chief Financial Officer stating that (i) such officers have carefully examined the Registration Statement, the Disclosure Package, any Issuer Free Writing Prospectus and the Prospectus and, in their opinion, the Registration Statement and each amendment thereto, as of the Initial Sale Time and through the Closing Date did not include any untrue statement of a material fact and did not omit to state a material fact required to be stated therein or necessary to make the statements therein not misleading, and the Disclosure Package, as of the Initial Sale Time through the Closing Date, any Issuer Free Writing Prospectus as of its date and as of the Closing Date, the Prospectus and each amendment or supplement thereto, as of the respective date thereof and as of the Closing Date, did not include any untrue statement of a material fact and did not omit to state a material fact necessary in order to make the statements therein, in the light of the circumstances in which they were made, not misleading, (ii) since the filing of the most recent Form 10-Q, no event has occurred which should have been set forth in a supplement or amendment to the Registration Statement, the Disclosure Package or the Prospectus, other than those events set forth in the Company’s Current Reports on Form 8-K filed after the date of the most recent Form 10-Q, (iii) to their knowledge after reasonable investigation, as of the Closing Date, the representations and warranties of the Company in this Agreement are true and correct, and the Company has complied with all agreements and satisfied all conditions on its part to be performed or satisfied hereunder at or prior to the Closing Date, and (iv) there has not been, subsequent to the date of the most recent audited financial statements included in the Disclosure Package, any Material Adverse Change in the financial position or results of operations of the Company, or any change or development that, singularly or in the aggregate, would involve a Material Adverse Change or a prospective Material Adverse Change, in or affecting the condition (financial or otherwise), results of operations, business, assets or prospects of the Company, except as set forth in the Prospectus.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left"/>
        <w:rPr>
          <w:rFonts w:ascii="Times New Roman" w:hAnsi="Times New Roman"/>
          <w:sz w:val="20"/>
        </w:rPr>
      </w:pPr>
      <w:r>
        <w:rPr>
          <w:rFonts w:ascii="Times New Roman" w:hAnsi="Times New Roman"/>
          <w:color w:val="000000"/>
          <w:sz w:val="20"/>
          <w:u w:val="single"/>
        </w:rPr>
        <w:t>Secretary’s Certificate</w:t>
      </w:r>
      <w:r>
        <w:rPr>
          <w:rFonts w:ascii="Times New Roman" w:hAnsi="Times New Roman"/>
          <w:color w:val="000000"/>
          <w:sz w:val="20"/>
        </w:rPr>
        <w:t>. As of the Closing Date the Placement Agent shall have received a certificate of the Company signed by the Secretary of the Company, dated the Closing Date, certifying: (i) that each of the Company’s Charter and Bylaws is true and complete, has not been modified and is in full force and effect; (ii) that the resolutions of the Company’s Board of Directors relating to the Offering are in full force and effect and have not been modified; and (iii) the good standing of the Company and any U.S. subsidiaries, if any. The documents referred to in such certificate shall be attached to such certificate.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left"/>
        <w:rPr>
          <w:rFonts w:ascii="Times New Roman" w:hAnsi="Times New Roman"/>
          <w:sz w:val="20"/>
        </w:rPr>
      </w:pPr>
      <w:r>
        <w:rPr>
          <w:rFonts w:ascii="Times New Roman" w:hAnsi="Times New Roman"/>
          <w:color w:val="000000"/>
          <w:sz w:val="20"/>
          <w:u w:val="single"/>
        </w:rPr>
        <w:t>No Material Changes</w:t>
      </w:r>
      <w:r>
        <w:rPr>
          <w:rFonts w:ascii="Times New Roman" w:hAnsi="Times New Roman"/>
          <w:color w:val="000000"/>
          <w:sz w:val="20"/>
        </w:rPr>
        <w:t>. Prior to and on the Closing Date: (i) there shall have been no Material Adverse Change or development involving a prospective Material Adverse Change in the condition or prospects or the business activities, financial or otherwise, of the Company from the latest dates as of which such condition is set forth in the Registration Statement, the Disclosure Package and the Prospectus; (ii) no action, suit or proceeding, at law or in equity, shall have been pending or threatened against the Company or any affiliates of the Company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Disclosure Package and the Prospectus; (iii) no stop order shall have been issued under the Securities Act and no proceedings therefor shall have been initiated or threatened by the Commission; and (iv) the Registration Statement, the Disclosure Package and the Prospectus and any amendments or supplements thereto shall contain all material statements which are required to be stated therein in accordance with the Securities Act and the Securities Act Regulations and shall conform in all material respects to the requirements of the Securities Act and the Securities Act Regulations, and neither the Registration Statement, the Disclosure Package nor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left"/>
        <w:rPr>
          <w:rFonts w:ascii="Times New Roman" w:hAnsi="Times New Roman"/>
          <w:sz w:val="20"/>
        </w:rPr>
      </w:pPr>
      <w:r>
        <w:rPr>
          <w:rFonts w:ascii="Times New Roman" w:hAnsi="Times New Roman"/>
          <w:color w:val="000000"/>
          <w:sz w:val="20"/>
          <w:u w:val="single"/>
        </w:rPr>
        <w:t>Reserved</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left"/>
        <w:rPr>
          <w:rFonts w:ascii="Times New Roman" w:hAnsi="Times New Roman"/>
          <w:sz w:val="20"/>
        </w:rPr>
      </w:pPr>
      <w:r>
        <w:rPr>
          <w:rFonts w:ascii="Times New Roman" w:hAnsi="Times New Roman"/>
          <w:color w:val="000000"/>
          <w:sz w:val="20"/>
          <w:u w:val="single"/>
        </w:rPr>
        <w:t>Delivery of Agreements</w:t>
      </w:r>
      <w:r>
        <w:rPr>
          <w:rFonts w:ascii="Times New Roman" w:hAnsi="Times New Roman"/>
          <w:color w:val="000000"/>
          <w:sz w:val="20"/>
        </w:rPr>
        <w:t>.</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Lock-Up Agreements</w:t>
      </w:r>
      <w:r>
        <w:rPr>
          <w:rFonts w:ascii="Times New Roman" w:hAnsi="Times New Roman"/>
          <w:color w:val="000000"/>
          <w:sz w:val="20"/>
        </w:rPr>
        <w:t>. On or before the date of this Agreement, the Company shall have delivered to the Placement Agent executed copies of the Lock-Up Agreements from each of the Company’s officers and directors.</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Reserved.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left"/>
        <w:rPr>
          <w:rFonts w:ascii="Times New Roman" w:hAnsi="Times New Roman"/>
          <w:sz w:val="20"/>
        </w:rPr>
      </w:pPr>
      <w:r>
        <w:rPr>
          <w:rFonts w:ascii="Times New Roman" w:hAnsi="Times New Roman"/>
          <w:color w:val="000000"/>
          <w:sz w:val="20"/>
          <w:u w:val="single"/>
        </w:rPr>
        <w:t>Additional Documents</w:t>
      </w:r>
      <w:r>
        <w:rPr>
          <w:rFonts w:ascii="Times New Roman" w:hAnsi="Times New Roman"/>
          <w:color w:val="000000"/>
          <w:sz w:val="20"/>
        </w:rPr>
        <w:t>. At the Closing Date, Placement Agent Counsel shall have been furnished with such documents and opinions as they may require in order to 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the Placement Agent and Placement Agent Counsel.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Indemnification and Contribution; Procedures.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sz w:val="20"/>
        </w:rPr>
      </w:pPr>
      <w:r>
        <w:rPr>
          <w:rFonts w:ascii="Times New Roman" w:hAnsi="Times New Roman"/>
          <w:color w:val="000000"/>
          <w:sz w:val="20"/>
          <w:u w:val="single"/>
        </w:rPr>
        <w:t>Indemnification of the Placement Agent</w:t>
      </w:r>
      <w:r>
        <w:rPr>
          <w:rFonts w:ascii="Times New Roman" w:hAnsi="Times New Roman"/>
          <w:color w:val="000000"/>
          <w:sz w:val="20"/>
        </w:rPr>
        <w:t>. The Company agrees to indemnify and hold harmless the Placement Agent, its affiliates and each person controlling such Placement Agent (within the meaning of Section 15 of the Securities Act), and the directors, officers, agents and employees of the Placement Agent, its affiliates and each such controlling person (the Placement Agent, and each such entity or person hereafter is referred to as an “</w:t>
      </w:r>
      <w:r>
        <w:rPr>
          <w:rFonts w:ascii="Times New Roman" w:hAnsi="Times New Roman"/>
          <w:color w:val="000000"/>
          <w:sz w:val="20"/>
          <w:u w:val="single"/>
        </w:rPr>
        <w:t>Indemnified Person</w:t>
      </w:r>
      <w:r>
        <w:rPr>
          <w:rFonts w:ascii="Times New Roman" w:hAnsi="Times New Roman"/>
          <w:color w:val="000000"/>
          <w:sz w:val="20"/>
        </w:rPr>
        <w:t>”) from and against any losses, claims, damages, judgments, assessments, costs and other liabilities (collectively, the “</w:t>
      </w:r>
      <w:r>
        <w:rPr>
          <w:rFonts w:ascii="Times New Roman" w:hAnsi="Times New Roman"/>
          <w:color w:val="000000"/>
          <w:sz w:val="20"/>
          <w:u w:val="single"/>
        </w:rPr>
        <w:t>Liabilities</w:t>
      </w:r>
      <w:r>
        <w:rPr>
          <w:rFonts w:ascii="Times New Roman" w:hAnsi="Times New Roman"/>
          <w:color w:val="000000"/>
          <w:sz w:val="20"/>
        </w:rPr>
        <w:t>”), and shall reimburse each Indemnified Person for all fees and expenses (including the reasonable fees and expenses of counsel for the Indemnified Persons, except as otherwise expressly provided in this Agreement) (collectively, the “</w:t>
      </w:r>
      <w:r>
        <w:rPr>
          <w:rFonts w:ascii="Times New Roman" w:hAnsi="Times New Roman"/>
          <w:color w:val="000000"/>
          <w:sz w:val="20"/>
          <w:u w:val="single"/>
        </w:rPr>
        <w:t>Expenses</w:t>
      </w:r>
      <w:r>
        <w:rPr>
          <w:rFonts w:ascii="Times New Roman" w:hAnsi="Times New Roman"/>
          <w:color w:val="000000"/>
          <w:sz w:val="20"/>
        </w:rPr>
        <w:t>”) and agrees to advance payment of such Expenses as they are incurred by an Indemnified Person in investigating, preparing, pursuing or defending any actions, whether or not any Indemnified Person is a party thereto, arising out of or based upon any untrue statement or alleged untrue statement of a material fact contained in (i) the Registration Statement, the Disclosure Package, the Preliminary Prospectus, the Prospectus or in any Issuer Free Writing Prospectus (as from time to time each may be amended and supplemented); (ii) any materials or information provided to investors by, or with the approval of, the Company in connection with the marketing of the Offering, including any “road show” or investor presentations made to investors by the Company (whether in person or electronically); or (iii) any application or other document or written communication (in this Section 9, collectively called “application”) executed by the Company or based upon written information furnished by the Company in any jurisdiction in order to qualify the Securities under the securities laws thereof or filed with the Commission, any state securities commission or agency, any national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the Placement Agent’s information. The Company also agrees to reimburse each Indemnified Person for all Expenses as they are incurred in connection with such Indemnified Person’s enforcement of his or its rights under this Agreement. Each Indemnified Person is an intended third party beneficiary with the same rights to enforce the indemnification that each Indemnified Person would have if he was a party to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sz w:val="20"/>
        </w:rPr>
      </w:pPr>
      <w:r>
        <w:rPr>
          <w:rFonts w:ascii="Times New Roman" w:hAnsi="Times New Roman"/>
          <w:color w:val="000000"/>
          <w:sz w:val="20"/>
          <w:u w:val="single"/>
        </w:rPr>
        <w:t>Procedure</w:t>
      </w:r>
      <w:r>
        <w:rPr>
          <w:rFonts w:ascii="Times New Roman" w:hAnsi="Times New Roman"/>
          <w:color w:val="000000"/>
          <w:sz w:val="20"/>
        </w:rPr>
        <w:t xml:space="preserve">. Upon receipt by an Indemnified Person of actual notice of an action against such Indemnified Person with respect to which indemnity may reasonably be expected to be sought under this Agreement, such Indemnified Person shall promptly notify the Company in writing; provided that failure by any Indemnified Person so to notify the Company shall not relieve the Company from any obligation or liability which the Company may have on account of this Section 9 or otherwise to such Indemnified Person, except to the extent (and only to the extent) that its ability to assume the defense is actually impaired by such failure or delay. The Company shall, if requested by the Placement Agent, assume the defense of any such action (including the employment of counsel and reasonably satisfactory to the Placement Agent). Any Indemnified Person shall have the right to employ separate counsel in any such action and participate in the defense thereof, but the fees and expenses of such counsel shall be at the expense of such Indemnified Person unless: (i) the Company has failed promptly to assume the defense and employ counsel for the benefit of the Placement Agent and the other Indemnified Persons or (ii) such Indemnified Person shall have been advised that in the opinion of counsel that there is an actual or potential conflict of interest that prevents (or makes it imprudent for) the counsel engaged by the Company for the purpose of representing the Indemnified Person, to represent both such Indemnified Person and any other person represented or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proposed to be represented by such counsel, it being understood, however, that the Company shall not be liable for the expenses of more than one separate counsel (together with local counsel), representing the Placement Agent and all Indemnified persons who are parties to such action. The Company shall not be liable for any settlement of any action effected without its written consent (which shall not be unreasonably withheld). In addition, the Company shall not, without the prior written consent of the Placement Agent, settle, compromise or consent to the entry of any judgment in or otherwise seek to terminate any pending or threatened action in respect of which advancement, reimbursement, indemnification or contribution may be sought hereunder (whether or not such Indemnified Person is a party thereto) unless such settlement, compromise, consent or termination (i) includes an unconditional release of each Indemnified Person, acceptable to such Indemnified Party, from all Liabilities arising out of such action for which indemnification or contribution may be sought hereunder and (ii) does not include a statement as to or an admission of fault, culpability or a failure to act, by or on behalf of any Indemnified Person. The advancement, reimbursement, indemnification and contribution obligations of the Company required hereby shall be made by periodic payments of the amount thereof during the course of the investigation or defense, as every Liability and Expense is incurred and is due and payable, and in such amounts as fully satisfy each and every Liability and Expense as it is incurred (and in no event later than 30 days following the date of any invoice therefor).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sz w:val="20"/>
        </w:rPr>
      </w:pPr>
      <w:r>
        <w:rPr>
          <w:rFonts w:ascii="Times New Roman" w:hAnsi="Times New Roman"/>
          <w:color w:val="000000"/>
          <w:sz w:val="20"/>
          <w:u w:val="single"/>
        </w:rPr>
        <w:t>Indemnification of the Company</w:t>
      </w:r>
      <w:r>
        <w:rPr>
          <w:rFonts w:ascii="Times New Roman" w:hAnsi="Times New Roman"/>
          <w:color w:val="000000"/>
          <w:sz w:val="20"/>
        </w:rPr>
        <w:t>. The Placement Agent agrees to indemnify and hold harmless the Company, its directors, its officers who signed the Registration Statement and persons who control the Company within the meaning of Section 15 of the Securities Act or Section 20 of the Exchange Act against any and all Liabilities, but only with respect to untrue statements or omissions, or alleged untrue statements or omissions made in the Registration Statement, any Preliminary Prospectus, the Disclosure Package or Prospectus or any amendment or supplement thereto, in reliance upon, and in strict conformity with, the Placement Agent’s Information. In case any action shall be brought against the Company or any other person so indemnified based on any Preliminary Prospectus, the Registration Statement, the Disclosure Package or Prospectus or any amendment or supplement thereto, and in respect of which indemnity may be sought against the Placement Agent, the Placement Agent shall have the rights and duties given to the Company, and the Company and each other person so indemnified shall have the rights and duties given to the Placement Agent by the provisions of Section 9.B. The Company agrees promptly to notify the Placement Agent of the commencement of any litigation or proceedings against the Company or any of its officers, directors or any person, if any, who controls the Company within the meaning of Section 15 of the Securities Act or Section 20 of the Exchange Act, in connection with the issuance and sale of the Securities or in connection with the Registration Statement, the Disclosure Package, the Prospectus or any Issuer Free Writing Prospectus, provided, that failure by the Company so to notify the Placement Agent shall not relieve the Placement Agent from any obligation or liability which the Placement Agent may have on account of this Section 9.C. or otherwise to the Company, except to the extent the Placement Agent is materially prejudiced as a proximate result of such failure..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sz w:val="20"/>
        </w:rPr>
      </w:pPr>
      <w:r>
        <w:rPr>
          <w:rFonts w:ascii="Times New Roman" w:hAnsi="Times New Roman"/>
          <w:color w:val="000000"/>
          <w:sz w:val="20"/>
          <w:u w:val="single"/>
        </w:rPr>
        <w:t>Contribution</w:t>
      </w:r>
      <w:r>
        <w:rPr>
          <w:rFonts w:ascii="Times New Roman" w:hAnsi="Times New Roman"/>
          <w:color w:val="000000"/>
          <w:sz w:val="20"/>
        </w:rPr>
        <w:t xml:space="preserve">. In the event that a court of competent jurisdiction makes a finding that indemnity is unavailable to any indemnified person, then each indemnifying party shall contribute to the Liabilities and Expenses paid or payable by such indemnified person in such proportion as is appropriate to reflect (i) the relative benefits to the Company, on the one hand, and to the Placement Agent and any other Indemnified Person, on the other hand, of the matters contemplated by this Agreement or (ii) if the allocation provided by the immediately preceding clause is not permitted by applicable law, not only such relative benefits but also the relative fault of the Company, on the one hand, and the Placement Agent and any other Indemnified Person, on the other hand, in connection with the matters as to which such Liabilities or Expenses relate, as well as any other relevant equitable considerations; provided that in no event shall the Company contribute less than the amount necessary to ensure that all Indemnified Persons, in the aggregate, are not liable for any Liabilities and Expenses in excess of the amount of commissions actually received by the Placement Agent pursuant to this Agreement. The relative fault shall be determined by reference to, among other things, whether the untrue or alleged untrue statement of a material fact or the omission or alleged omission to state a material fact relates to information supplied by the Company on the one hand or the Placement Agent on the other and the parties’ relative intent, knowledge, access to information and opportunity to correct or prevent such statement or omission. The Company and the Placement Agent agree that it would not be just and equitable if contributions pursuant to this subsection (D) were determined by pro rata allocation or by any other method of allocation which does not take account of the equitable considerations referred to above in this subsection (D). For purposes of this paragraph, the relative benefits to the Company, on the one hand, and to the Placement Agent on the other hand, of the matters contemplated by this Agreement shall be deemed to be in the same proportion as: (a) the total value received by the Company in the Offering, whether or not such Offering is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consummated, bears to (b) the commissions paid to the Placement Agent under this Agreement. Notwithstanding the above, no person guilty of fraudulent misrepresentation within the meaning of Section 11(f) of the Securities Act shall be entitled to contribution from a party who was not guilty of fraudulent misrepresentation.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left"/>
        <w:rPr>
          <w:rFonts w:ascii="Times New Roman" w:hAnsi="Times New Roman"/>
          <w:sz w:val="20"/>
        </w:rPr>
      </w:pPr>
      <w:r>
        <w:rPr>
          <w:rFonts w:ascii="Times New Roman" w:hAnsi="Times New Roman"/>
          <w:color w:val="000000"/>
          <w:sz w:val="20"/>
          <w:u w:val="single"/>
        </w:rPr>
        <w:t>Limitation</w:t>
      </w:r>
      <w:r>
        <w:rPr>
          <w:rFonts w:ascii="Times New Roman" w:hAnsi="Times New Roman"/>
          <w:color w:val="000000"/>
          <w:sz w:val="20"/>
        </w:rPr>
        <w:t>. The Company also agrees that no Indemnified Person shall have any liability (whether direct or indirect, in contract or tort or otherwise) to the Company for or in connection with advice or services rendered or to be rendered by any Indemnified Person pursuant to this Agreement, the transactions contemplated thereby or any Indemnified Person’s actions or inactions in connection with any such advice, services or transactions, except to the extent that a court of competent jurisdiction has made a finding that Liabilities (and related Expenses) of the Company have resulted primarily from such Indemnified Person’s gross negligence or willful misconduct in connection with any such advice, actions, inactions or services.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left"/>
        <w:rPr>
          <w:rFonts w:ascii="Times New Roman" w:hAnsi="Times New Roman"/>
          <w:sz w:val="20"/>
        </w:rPr>
      </w:pPr>
      <w:r>
        <w:rPr>
          <w:rFonts w:ascii="Times New Roman" w:hAnsi="Times New Roman"/>
          <w:color w:val="000000"/>
          <w:sz w:val="20"/>
          <w:u w:val="single"/>
        </w:rPr>
        <w:t>Survival</w:t>
      </w:r>
      <w:r>
        <w:rPr>
          <w:rFonts w:ascii="Times New Roman" w:hAnsi="Times New Roman"/>
          <w:color w:val="000000"/>
          <w:sz w:val="20"/>
        </w:rPr>
        <w:t>. The advancement, reimbursement, indemnity and contribution obligations set forth in this Section 9 shall remain in full force and effect regardless of any termination of, or the completion of any Indemnified Person’s services under or in connection with, this Agreement. Each Indemnified Person is an intended third-party beneficiary of this Section 9, and has the right to enforce the provisions of Section 9 as if he/she/it was a party to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Limitation of Dawson’s Liability to the Company.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Dawson and the Company further agree that neither Dawson nor any of its affiliates or any of their respective officers, directors, controlling persons (within the meaning of Section 15 of the Securities Act or Section 20 of the Exchange Act), employees or agents shall have any liability to the Company, its security holders or creditors, or any person asserting claims on behalf of or in the right of the Company (whether direct or indirect, in contract or tort, for an act of negligence or otherwise) for any losses, fees, damages, liabilities, costs, expenses or equitable relief arising out of or relating to this Agreement or the Services rendered hereunder, except for losses, fees, damages, liabilities, costs or expenses that arise out of or are based on any action of or failure to act by Dawson and that are finally judicially determined to have resulted solely from the gross negligence or willful misconduct of Dawson.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Limitation of Engagement to the Company.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acknowledges that Dawson has been retained only by the Company, that Dawson is providing services hereunder as an independent contractor (and not in any fiduciary or agency capacity) and that the Company’s engagement of Dawson is not deemed to be on behalf of, and is not intended to confer rights upon, any shareholder, owner or partner of the Company or any other person not a party hereto as against Dawson or any of its affiliates, or any of its or their respective officers, directors, controlling persons (within the meaning of Section 15 of the Securities Act or Section 20 of the Exchange Act), employees or agents. Unless otherwise expressly agreed in writing by Dawson, no one other than the Company is authorized to rely upon any statement or conduct of Dawson in connection with this Agreement. The Company acknowledges that any recommendation or advice, written or oral, given by Dawson to the Company in connection with Dawson’s engagement is intended solely for the benefit and use of the Company’s management and directors in considering a possible Offering, and any such recommendation or advice is not on behalf of, and shall not confer any rights or remedies upon, any other person or be used or relied upon for any other purpose. Dawson shall not have the authority to make any commitment binding on the Company. The Company, in its sole discretion, shall have the right to reject any investor introduced to it by Dawson. If any purchase agreement and/or related transaction documents are entered into between the Company and the investors in the Offering, Dawson will be entitled to rely on the representations, warranties, agreements and covenants of the Company contained in any such purchase agreement and related transaction documents as if such representations, warranties, agreements and covenants were made directly to Dawson by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Amendments and Waivers.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No supplement, modification or waiver of this Agreement shall be binding unless executed in writing by the party to be bound thereby. The failure of a party to exercise any right or remedy shall not be deemed or constitute a waiver of such right or remedy in the future. No waiver of any of the provisions of this Agreement shall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be deemed or shall constitute a waiver of any other provision hereof (regardless of whether similar), nor shall any such waiver be deemed or constitute a continuing waiver unless otherwise expressly provided.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Confidentiality.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In the event of the consummation or public announcement of any Offering, Dawson shall have the right to disclose its participation in such Offering, including, without limitation, the placement at its cost of “tombstone” advertisements in financial and other newspapers and journals, provided that the Company has approved such advertisements. Dawson agrees not to use any confidential information concerning the Company provided to Dawson by the Company for any purposes other than those contemplated under this Agreement.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Headings.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headings of the various sections of this Agreement have been inserted for convenience of reference only and will not be deemed to be part of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15.</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Counterparts.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This Agreement may be executed in one or more counterparts and, if executed in more than one counterpart, the executed counterparts shall each be deemed to be an original and all such counterparts shall together constitute one and the same instrument.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16.</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Severability.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case any provision contained in this Agreement should be invalid, illegal or unenforceable in any respect, the validity, legality and enforceability of the remaining provisions contained herein will not in any way be affected or impaired thereby.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17.</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Use of Information.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will furnish Dawson such written information as Dawson reasonably requests in connection with the performance of its services hereunder. The Company understands, acknowledges and agrees that, in performing its services hereunder, Dawson will use and rely entirely upon such information as well as publicly available information regarding the Company and other potential parties to an Offering and that Dawson does not assume responsibility for independent verification of the accuracy or completeness of any information, whether publicly available or otherwise furnished to it, concerning the Company or otherwise relevant to an Offering, including, without limitation, any financial information, forecasts or projections considered by Dawson in connection with the provision of its services.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18.</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Absence of Fiduciary Relationship.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acknowledges and agrees that: (a) the Placement Agent has been retained solely to act as Placement Agent in connection with the sale of the Securities and that no fiduciary, advisory or agency relationship between the Company and the Placement Agent has been created in respect of any of the transactions contemplated by this Agreement, irrespective of whether the Placement Agent has advised or is advising the Company on other matters; (b) the Purchase Price and other terms of the Securities set forth in this Agreement were established by the Company following discussions and arms-length negotiations with the Placement Agent and the Company is capable of evaluating and understanding and understands and accepts the terms, risks and conditions of the transactions contemplated by this Agreement; (c) it has been advised that the Placement Agent and its affiliates are engaged in a broad range of transactions that may involve interests that differ from those of the Company and that the Placement Agent has no obligation to disclose such interest and transactions to the Company by virtue of any fiduciary, advisory or agency relationship; and (d) it has been advised that the Placement Agent is acting, in respect of the transactions contemplated by this Agreement, solely for the benefit of the Placement Agent, and not on behalf of the Company and that the Placement Agents may have interests that differ from those of the Company. The Company waives to the full extent permitted by applicable law any claims it may have against the Placement Agent arising from an alleged breach of fiduciary duty in connection with the Offering.</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Survival Of Indemnities, Representations, Warranties, Etc.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respective indemnities, covenants, agreements, representations, warranties and other statements of the Company and Placement Agent, as set forth in this Agreement or made by them respectively, pursuant to this Agreement, shall remain in full force and effect, regardless of any investigation made by or on behalf of the Placement Agent, the Company, the Purchasers or any person controlling any of them and shall survive delivery of and payment for the Securities. Notwithstanding any termination of this Agreement, including without limitation any termination pursuant to Section 5, the payment, reimbursement, indemnity, contribution and advancement agreements contained in Sections 2, 9, 10, and 11, respectively, and the Company’s covenants, representations, and warranties set forth in this Agreement shall not terminate and shall remain in full force and effect at all times. The indemnity and contribution provisions contained in Section 9 and the covenants, warranties and representations of the Company contained in this Agreement shall remain operative and in full force and effect regardless of (i) any termination of this Agreement, (ii) any investigation made by or on behalf of any Placement Agent, any person who controls any Placement Agent within the meaning of either Section 15 of the Securities Act or Section 20 of the Exchange Act or any affiliate of any Placement Agent, or by or on behalf of the Company, its directors or officers or any person who controls the Company within the meaning of either Section 15 of the Securities Act or Section 20 of the Exchange Act, and (iii) the issuance and delivery of the Securities.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20.</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Governing Law.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This Agreement shall be governed by and construed in accordance with the laws of the State of New York applicable to agreements made and to be fully performed therein. Any disputes that arise under this Agreement, even after the termination of this Agreement, will be heard only in the state or federal courts located in the City of New York, State of New York. The parties hereto expressly agree to submit themselves to the jurisdiction of the foregoing courts in the City of New York, State of New York. The parties hereto expressly waive any rights they may have to contest the jurisdiction, venue or authority of any court sitting in the City and State of New York.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21.</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Notices.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All communications hereunder shall be in writing and shall be mailed or hand delivered and confirmed to the parties hereto as follows: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If to the Company:</w:t>
      </w:r>
    </w:p>
    <w:p>
      <w:pPr>
        <w:pStyle w:val="TextBody"/>
        <w:bidi w:val="0"/>
        <w:jc w:val="left"/>
        <w:rPr>
          <w:rFonts w:ascii="Times New Roman" w:hAnsi="Times New Roman"/>
          <w:color w:val="000000"/>
          <w:sz w:val="20"/>
        </w:rPr>
      </w:pPr>
      <w:r>
        <w:rPr>
          <w:rFonts w:ascii="Times New Roman" w:hAnsi="Times New Roman"/>
          <w:color w:val="000000"/>
          <w:sz w:val="20"/>
        </w:rPr>
        <w:t>Alaunos Therapeutics, Inc.</w:t>
      </w:r>
    </w:p>
    <w:p>
      <w:pPr>
        <w:pStyle w:val="TextBody"/>
        <w:bidi w:val="0"/>
        <w:jc w:val="left"/>
        <w:rPr>
          <w:rFonts w:ascii="Times New Roman" w:hAnsi="Times New Roman"/>
          <w:color w:val="000000"/>
          <w:sz w:val="20"/>
        </w:rPr>
      </w:pPr>
      <w:r>
        <w:rPr>
          <w:rFonts w:ascii="Times New Roman" w:hAnsi="Times New Roman"/>
          <w:color w:val="000000"/>
          <w:sz w:val="20"/>
        </w:rPr>
        <w:t>501 E. Las Olas Blvd., Suite 300</w:t>
      </w:r>
    </w:p>
    <w:p>
      <w:pPr>
        <w:pStyle w:val="TextBody"/>
        <w:bidi w:val="0"/>
        <w:jc w:val="left"/>
        <w:rPr>
          <w:rFonts w:ascii="Times New Roman" w:hAnsi="Times New Roman"/>
          <w:color w:val="000000"/>
          <w:sz w:val="20"/>
        </w:rPr>
      </w:pPr>
      <w:r>
        <w:rPr>
          <w:rFonts w:ascii="Times New Roman" w:hAnsi="Times New Roman"/>
          <w:color w:val="000000"/>
          <w:sz w:val="20"/>
        </w:rPr>
        <w:t>Fort Lauderdale, FL 33301</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Attention: Chief Executive Officer; Telephone: (346) 355-4099</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With a copy to (which shall not constitute notice):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Sichenzia Ross Ference Carmel LLP</w:t>
        <w:br/>
        <w:t>1185 Avenue of the Americas, 26th Floor</w:t>
        <w:br/>
        <w:t>New York, New York 10036</w:t>
        <w:br/>
        <w:t>Attention: Gregory Sichenzia; E-Mail: gsichenzia@srfc.law</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If to the Placement Agent:</w:t>
      </w:r>
    </w:p>
    <w:p>
      <w:pPr>
        <w:pStyle w:val="TextBody"/>
        <w:bidi w:val="0"/>
        <w:jc w:val="left"/>
        <w:rPr>
          <w:rFonts w:ascii="Times New Roman" w:hAnsi="Times New Roman"/>
          <w:color w:val="000000"/>
          <w:sz w:val="20"/>
        </w:rPr>
      </w:pPr>
      <w:r>
        <w:rPr>
          <w:rFonts w:ascii="Times New Roman" w:hAnsi="Times New Roman"/>
          <w:color w:val="000000"/>
          <w:sz w:val="20"/>
        </w:rPr>
        <w:t xml:space="preserve">Dawson James Securities, Inc. </w:t>
      </w:r>
    </w:p>
    <w:p>
      <w:pPr>
        <w:pStyle w:val="TextBody"/>
        <w:bidi w:val="0"/>
        <w:jc w:val="left"/>
        <w:rPr>
          <w:rFonts w:ascii="Times New Roman" w:hAnsi="Times New Roman"/>
          <w:color w:val="000000"/>
          <w:sz w:val="20"/>
        </w:rPr>
      </w:pPr>
      <w:r>
        <w:rPr>
          <w:rFonts w:ascii="Times New Roman" w:hAnsi="Times New Roman"/>
          <w:color w:val="000000"/>
          <w:sz w:val="20"/>
        </w:rPr>
        <w:t>2700 N Military Trail, Suite 100</w:t>
      </w:r>
    </w:p>
    <w:p>
      <w:pPr>
        <w:pStyle w:val="TextBody"/>
        <w:bidi w:val="0"/>
        <w:jc w:val="left"/>
        <w:rPr>
          <w:rFonts w:ascii="Times New Roman" w:hAnsi="Times New Roman"/>
          <w:color w:val="000000"/>
          <w:sz w:val="20"/>
        </w:rPr>
      </w:pPr>
      <w:r>
        <w:rPr>
          <w:rFonts w:ascii="Times New Roman" w:hAnsi="Times New Roman"/>
          <w:color w:val="000000"/>
          <w:sz w:val="20"/>
        </w:rPr>
        <w:t>Boca Raton, FL 33431</w:t>
      </w:r>
    </w:p>
    <w:p>
      <w:pPr>
        <w:pStyle w:val="TextBody"/>
        <w:bidi w:val="0"/>
        <w:jc w:val="left"/>
        <w:rPr>
          <w:rFonts w:ascii="Times New Roman" w:hAnsi="Times New Roman"/>
          <w:color w:val="000000"/>
          <w:sz w:val="20"/>
        </w:rPr>
      </w:pPr>
      <w:r>
        <w:rPr>
          <w:rFonts w:ascii="Times New Roman" w:hAnsi="Times New Roman"/>
          <w:color w:val="000000"/>
          <w:sz w:val="20"/>
        </w:rPr>
        <w:t>Attention: Chief Executive Officer</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Any party hereto may change the address for receipt of communications by giving written notice to the others.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22.</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Miscellaneous.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This Agreement shall not be modified or amended except in writing signed by Dawson and the Company. This Agreement constitutes the entire agreement of Dawson and the Company, and supersedes any prior agreements, with respect to the subject matter hereof. If any provision of this Agreement is determined to be invalid or unenforceable in any respect, such determination will not affect such provision in any other respect, and the remainder of this Agreement shall remain in full force and effect. This Agreement may be executed in counterparts (including facsimile or .pdf counterparts), each of which shall be deemed an original but all of which together shall constitute one and the same instrument.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23.</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Successors.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This Agreement will inure to the benefit of and be binding upon the parties hereto, and to the benefit of the employees, officers and directors and controlling persons referred to in Section 9 hereof, and to their respective successors, and personal representative, and, except as set forth in Section 9 of this Agreement, no other person will have any right or obligation hereunder.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24.</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 xml:space="preserve">Partial Unenforceability.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[SIGNATURE PAGE TO FOLLOW]</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In acknowledgment that the foregoing correctly sets forth the understanding reached by Dawson and the Company, and intending to be legally bound, please sign in the space provided below, whereupon this letter shall constitute a binding Agreement as of the date executed.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Very truly yours,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ALAUNOS THERAPEUTICS, INC.</w:t>
      </w:r>
    </w:p>
    <w:p>
      <w:pPr>
        <w:pStyle w:val="TextBody"/>
        <w:bidi w:val="0"/>
        <w:spacing w:before="0" w:after="20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i/>
          <w:color w:val="000000"/>
          <w:sz w:val="20"/>
          <w:u w:val="single"/>
        </w:rPr>
        <w:t>/s/ Holger Weis</w:t>
      </w:r>
      <w:r>
        <w:rPr>
          <w:rFonts w:ascii="Times New Roman" w:hAnsi="Times New Roman"/>
          <w:color w:val="000000"/>
          <w:sz w:val="20"/>
          <w:u w:val="single"/>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Name: Holger Weis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Title: Chief Executive Officer</w:t>
      </w:r>
    </w:p>
    <w:p>
      <w:pPr>
        <w:pStyle w:val="TextBody"/>
        <w:bidi w:val="0"/>
        <w:spacing w:before="0" w:after="20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Confirmed as of the date first written above: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DAWSON JAMES SECURITIES, INC.</w:t>
      </w:r>
    </w:p>
    <w:p>
      <w:pPr>
        <w:pStyle w:val="TextBody"/>
        <w:bidi w:val="0"/>
        <w:spacing w:before="0" w:after="20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i/>
          <w:color w:val="000000"/>
          <w:sz w:val="20"/>
          <w:u w:val="single"/>
        </w:rPr>
        <w:t>/s/ Robert D. Keyser Jr.</w:t>
      </w:r>
      <w:r>
        <w:rPr>
          <w:rFonts w:ascii="Times New Roman" w:hAnsi="Times New Roman"/>
          <w:color w:val="000000"/>
          <w:sz w:val="20"/>
          <w:u w:val="single"/>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Name: Robert D. Keyser Jr.</w:t>
      </w:r>
    </w:p>
    <w:p>
      <w:pPr>
        <w:pStyle w:val="TextBody"/>
        <w:bidi w:val="0"/>
        <w:jc w:val="left"/>
        <w:rPr>
          <w:rFonts w:ascii="Times New Roman" w:hAnsi="Times New Roman"/>
          <w:color w:val="000000"/>
          <w:sz w:val="20"/>
        </w:rPr>
      </w:pPr>
      <w:r>
        <w:rPr>
          <w:rFonts w:ascii="Times New Roman" w:hAnsi="Times New Roman"/>
          <w:color w:val="000000"/>
          <w:sz w:val="20"/>
        </w:rPr>
        <w:t>Title: Chief Executive Officer</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SCHEDULE I</w:t>
      </w:r>
    </w:p>
    <w:p>
      <w:pPr>
        <w:pStyle w:val="TextBody"/>
        <w:bidi w:val="0"/>
        <w:spacing w:before="0" w:after="200"/>
        <w:jc w:val="center"/>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Issuer General Use Free Writing Prospectuses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0" w:name="tcrt-ex10_3.htm"/>
      <w:bookmarkStart w:id="11" w:name="kstcrtex10_3"/>
      <w:bookmarkEnd w:id="10"/>
      <w:bookmarkEnd w:id="11"/>
      <w:r>
        <w:rPr>
          <w:rFonts w:ascii="Times New Roman" w:hAnsi="Times New Roman"/>
          <w:b/>
          <w:color w:val="000000"/>
          <w:sz w:val="20"/>
        </w:rPr>
        <w:t>Exhibit 10.3</w:t>
      </w:r>
      <w:r>
        <w:br w:type="page"/>
      </w:r>
    </w:p>
    <w:p>
      <w:pPr>
        <w:pStyle w:val="TextBody"/>
        <w:bidi w:val="0"/>
        <w:jc w:val="left"/>
        <w:rPr/>
      </w:pPr>
      <w:r>
        <w:rPr/>
        <w:t> </w:t>
      </w:r>
    </w:p>
    <w:p>
      <w:pPr>
        <w:pStyle w:val="TextBody"/>
        <w:bidi w:val="0"/>
        <w:spacing w:before="0" w:after="219"/>
        <w:jc w:val="center"/>
        <w:rPr>
          <w:rFonts w:ascii="Times New Roman" w:hAnsi="Times New Roman"/>
          <w:b/>
          <w:color w:val="000000"/>
          <w:sz w:val="24"/>
        </w:rPr>
      </w:pPr>
      <w:r>
        <w:rPr>
          <w:rFonts w:ascii="Times New Roman" w:hAnsi="Times New Roman"/>
          <w:b/>
          <w:color w:val="000000"/>
          <w:sz w:val="24"/>
        </w:rPr>
        <w:t>Alaunos Therapeutics, Inc.</w:t>
      </w:r>
    </w:p>
    <w:p>
      <w:pPr>
        <w:pStyle w:val="TextBody"/>
        <w:bidi w:val="0"/>
        <w:spacing w:before="0" w:after="219"/>
        <w:jc w:val="center"/>
        <w:rPr>
          <w:rFonts w:ascii="Times New Roman" w:hAnsi="Times New Roman"/>
          <w:color w:val="000000"/>
          <w:sz w:val="24"/>
        </w:rPr>
      </w:pPr>
      <w:r>
        <w:rPr>
          <w:rFonts w:ascii="Times New Roman" w:hAnsi="Times New Roman"/>
          <w:color w:val="000000"/>
          <w:sz w:val="24"/>
        </w:rPr>
        <w:t>September 18, 2026</w:t>
      </w:r>
    </w:p>
    <w:p>
      <w:pPr>
        <w:pStyle w:val="TextBody"/>
        <w:bidi w:val="0"/>
        <w:jc w:val="left"/>
        <w:rPr>
          <w:rFonts w:ascii="Times New Roman" w:hAnsi="Times New Roman"/>
          <w:color w:val="000000"/>
          <w:sz w:val="24"/>
        </w:rPr>
      </w:pPr>
      <w:r>
        <w:rPr>
          <w:rFonts w:ascii="Times New Roman" w:hAnsi="Times New Roman"/>
          <w:color w:val="000000"/>
          <w:sz w:val="24"/>
        </w:rPr>
        <w:t>Alaunos Therapeutics, Inc.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501 E. Las Olas Blvd., Suite 300</w:t>
        <w:br/>
        <w:t>Fort Lauderdale, FL 33301</w:t>
        <w:br/>
        <w:t>Telephone: [***]</w:t>
        <w:br/>
        <w:t>Attention: Holger Weis, Chief Executive Officer</w:t>
        <w:br/>
        <w:t>E-mail: [***]</w:t>
      </w:r>
    </w:p>
    <w:p>
      <w:pPr>
        <w:pStyle w:val="TextBody"/>
        <w:bidi w:val="0"/>
        <w:jc w:val="both"/>
        <w:rPr/>
      </w:pPr>
      <w:r>
        <w:rPr/>
        <w:t> </w:t>
      </w:r>
    </w:p>
    <w:p>
      <w:pPr>
        <w:pStyle w:val="TextBody"/>
        <w:bidi w:val="0"/>
        <w:spacing w:before="0" w:after="219"/>
        <w:jc w:val="both"/>
        <w:rPr>
          <w:rFonts w:ascii="Times New Roman" w:hAnsi="Times New Roman"/>
          <w:sz w:val="24"/>
        </w:rPr>
      </w:pPr>
      <w:r>
        <w:rPr>
          <w:rFonts w:ascii="Times New Roman" w:hAnsi="Times New Roman"/>
          <w:color w:val="000000"/>
          <w:sz w:val="24"/>
        </w:rPr>
        <w:t xml:space="preserve">Re: </w:t>
      </w:r>
      <w:r>
        <w:rPr>
          <w:rFonts w:ascii="Times New Roman" w:hAnsi="Times New Roman"/>
          <w:color w:val="000000"/>
          <w:sz w:val="24"/>
          <w:u w:val="single"/>
        </w:rPr>
        <w:t>Alaunos Therapeutics, Inc. - Lock-Up Agreement</w:t>
      </w:r>
    </w:p>
    <w:p>
      <w:pPr>
        <w:pStyle w:val="TextBody"/>
        <w:bidi w:val="0"/>
        <w:spacing w:before="0" w:after="219"/>
        <w:jc w:val="both"/>
        <w:rPr>
          <w:rFonts w:ascii="Times New Roman" w:hAnsi="Times New Roman"/>
          <w:color w:val="000000"/>
          <w:sz w:val="24"/>
        </w:rPr>
      </w:pPr>
      <w:r>
        <w:rPr>
          <w:rFonts w:ascii="Times New Roman" w:hAnsi="Times New Roman"/>
          <w:color w:val="000000"/>
          <w:sz w:val="24"/>
        </w:rPr>
        <w:t>Dear Sirs:</w:t>
      </w:r>
    </w:p>
    <w:p>
      <w:pPr>
        <w:pStyle w:val="TextBody"/>
        <w:bidi w:val="0"/>
        <w:spacing w:before="0" w:after="219"/>
        <w:jc w:val="both"/>
        <w:rPr>
          <w:rFonts w:ascii="Times New Roman" w:hAnsi="Times New Roman"/>
          <w:sz w:val="22"/>
        </w:rPr>
      </w:pPr>
      <w:r>
        <w:rPr>
          <w:rFonts w:ascii="Times New Roman" w:hAnsi="Times New Roman"/>
          <w:color w:val="000000"/>
          <w:sz w:val="24"/>
        </w:rPr>
        <w:t>This Lock-Up Agreement is being delivered to you in connection with the Placement Agency Agreement (the “</w:t>
      </w:r>
      <w:r>
        <w:rPr>
          <w:rFonts w:ascii="Times New Roman" w:hAnsi="Times New Roman"/>
          <w:b/>
          <w:color w:val="000000"/>
          <w:sz w:val="24"/>
        </w:rPr>
        <w:t>Placement Agency Agreement</w:t>
      </w:r>
      <w:r>
        <w:rPr>
          <w:rFonts w:ascii="Times New Roman" w:hAnsi="Times New Roman"/>
          <w:color w:val="000000"/>
          <w:sz w:val="22"/>
        </w:rPr>
        <w:t>”</w:t>
      </w:r>
      <w:r>
        <w:rPr>
          <w:rFonts w:ascii="Times New Roman" w:hAnsi="Times New Roman"/>
          <w:color w:val="000000"/>
          <w:sz w:val="24"/>
        </w:rPr>
        <w:t>), dated as of September 18, 2026, by and among Alaunos Therapeutics, Inc. (the “</w:t>
      </w:r>
      <w:r>
        <w:rPr>
          <w:rFonts w:ascii="Times New Roman" w:hAnsi="Times New Roman"/>
          <w:b/>
          <w:color w:val="000000"/>
          <w:sz w:val="24"/>
        </w:rPr>
        <w:t>Company</w:t>
      </w:r>
      <w:r>
        <w:rPr>
          <w:rFonts w:ascii="Times New Roman" w:hAnsi="Times New Roman"/>
          <w:color w:val="000000"/>
          <w:sz w:val="22"/>
        </w:rPr>
        <w:t>”</w:t>
      </w:r>
      <w:r>
        <w:rPr>
          <w:rFonts w:ascii="Times New Roman" w:hAnsi="Times New Roman"/>
          <w:color w:val="000000"/>
          <w:sz w:val="24"/>
        </w:rPr>
        <w:t>) and Dawson James Securities, Inc. (the “</w:t>
      </w:r>
      <w:r>
        <w:rPr>
          <w:rFonts w:ascii="Times New Roman" w:hAnsi="Times New Roman"/>
          <w:b/>
          <w:color w:val="000000"/>
          <w:sz w:val="24"/>
        </w:rPr>
        <w:t>Placement Agent</w:t>
      </w:r>
      <w:r>
        <w:rPr>
          <w:rFonts w:ascii="Times New Roman" w:hAnsi="Times New Roman"/>
          <w:color w:val="000000"/>
          <w:sz w:val="22"/>
        </w:rPr>
        <w:t>”</w:t>
      </w:r>
      <w:r>
        <w:rPr>
          <w:rFonts w:ascii="Times New Roman" w:hAnsi="Times New Roman"/>
          <w:color w:val="000000"/>
          <w:sz w:val="24"/>
        </w:rPr>
        <w:t xml:space="preserve">), with respect to the issuance of the Company’s shares of Common Stock, par value $0.001 per share </w:t>
      </w:r>
      <w:r>
        <w:rPr>
          <w:rFonts w:ascii="Times New Roman" w:hAnsi="Times New Roman"/>
          <w:color w:val="000000"/>
          <w:sz w:val="22"/>
        </w:rPr>
        <w:t>(</w:t>
      </w:r>
      <w:r>
        <w:rPr>
          <w:rFonts w:ascii="Times New Roman" w:hAnsi="Times New Roman"/>
          <w:color w:val="000000"/>
          <w:sz w:val="24"/>
        </w:rPr>
        <w:t>the “</w:t>
      </w:r>
      <w:r>
        <w:rPr>
          <w:rFonts w:ascii="Times New Roman" w:hAnsi="Times New Roman"/>
          <w:b/>
          <w:color w:val="000000"/>
          <w:sz w:val="24"/>
        </w:rPr>
        <w:t>Common Stock</w:t>
      </w:r>
      <w:r>
        <w:rPr>
          <w:rFonts w:ascii="Times New Roman" w:hAnsi="Times New Roman"/>
          <w:color w:val="000000"/>
          <w:sz w:val="22"/>
        </w:rPr>
        <w:t>”</w:t>
      </w:r>
      <w:r>
        <w:rPr>
          <w:rFonts w:ascii="Times New Roman" w:hAnsi="Times New Roman"/>
          <w:color w:val="000000"/>
          <w:sz w:val="24"/>
        </w:rPr>
        <w:t>), and pre-funded warrants (the “</w:t>
      </w:r>
      <w:r>
        <w:rPr>
          <w:rFonts w:ascii="Times New Roman" w:hAnsi="Times New Roman"/>
          <w:b/>
          <w:color w:val="000000"/>
          <w:sz w:val="24"/>
        </w:rPr>
        <w:t>Warrants</w:t>
      </w:r>
      <w:r>
        <w:rPr>
          <w:rFonts w:ascii="Times New Roman" w:hAnsi="Times New Roman"/>
          <w:color w:val="000000"/>
          <w:sz w:val="22"/>
        </w:rPr>
        <w:t>”</w:t>
      </w:r>
      <w:r>
        <w:rPr>
          <w:rFonts w:ascii="Times New Roman" w:hAnsi="Times New Roman"/>
          <w:color w:val="000000"/>
          <w:sz w:val="24"/>
        </w:rPr>
        <w:t>) to purchase Common Stock. Capitalized terms used herein and not otherwise defined herein shall have the respective meanings set forth in the Placement Agency Agreement or the Securities Purchase Agreement, dated as of September 18, 2026, by and among the Company and the purchasers named therein (the “</w:t>
      </w:r>
      <w:r>
        <w:rPr>
          <w:rFonts w:ascii="Times New Roman" w:hAnsi="Times New Roman"/>
          <w:b/>
          <w:color w:val="000000"/>
          <w:sz w:val="24"/>
        </w:rPr>
        <w:t>Securities Purchase Agreement</w:t>
      </w:r>
      <w:r>
        <w:rPr>
          <w:rFonts w:ascii="Times New Roman" w:hAnsi="Times New Roman"/>
          <w:color w:val="000000"/>
          <w:sz w:val="22"/>
        </w:rPr>
        <w:t>”</w:t>
      </w:r>
      <w:r>
        <w:rPr>
          <w:rFonts w:ascii="Times New Roman" w:hAnsi="Times New Roman"/>
          <w:color w:val="000000"/>
          <w:sz w:val="24"/>
        </w:rPr>
        <w:t>).</w:t>
      </w:r>
    </w:p>
    <w:p>
      <w:pPr>
        <w:pStyle w:val="TextBody"/>
        <w:bidi w:val="0"/>
        <w:spacing w:before="0" w:after="219"/>
        <w:jc w:val="both"/>
        <w:rPr>
          <w:rFonts w:ascii="Times New Roman" w:hAnsi="Times New Roman"/>
          <w:sz w:val="24"/>
        </w:rPr>
      </w:pPr>
      <w:r>
        <w:rPr>
          <w:rFonts w:ascii="Times New Roman" w:hAnsi="Times New Roman"/>
          <w:color w:val="000000"/>
          <w:sz w:val="24"/>
        </w:rPr>
        <w:t>In order to induce the Placement Agent to act as placement agent in the Offering pursuant to the Placement Agency Agreement, the undersigned agrees that, commencing on the date hereof and ending on the date that is fifteen three (15) days from the date of the Offering (the “</w:t>
      </w:r>
      <w:r>
        <w:rPr>
          <w:rFonts w:ascii="Times New Roman" w:hAnsi="Times New Roman"/>
          <w:b/>
          <w:color w:val="000000"/>
          <w:sz w:val="24"/>
        </w:rPr>
        <w:t>Lock-Up Period</w:t>
      </w:r>
      <w:r>
        <w:rPr>
          <w:rFonts w:ascii="Times New Roman" w:hAnsi="Times New Roman"/>
          <w:color w:val="000000"/>
          <w:sz w:val="24"/>
        </w:rPr>
        <w:t>”), the undersigned will not, and will cause all affiliates (as defined in Rule 144 promulgated under the Securities Act of 1933, as amended (the “</w:t>
      </w:r>
      <w:r>
        <w:rPr>
          <w:rFonts w:ascii="Times New Roman" w:hAnsi="Times New Roman"/>
          <w:b/>
          <w:color w:val="000000"/>
          <w:sz w:val="24"/>
        </w:rPr>
        <w:t>1933 Act</w:t>
      </w:r>
      <w:r>
        <w:rPr>
          <w:rFonts w:ascii="Times New Roman" w:hAnsi="Times New Roman"/>
          <w:color w:val="000000"/>
          <w:sz w:val="24"/>
        </w:rPr>
        <w:t>”)) of the undersigned or any person in privity with the undersigned or any affiliate of the undersigned not to, (i) offer, sell, or otherwise transfer or dispose of, directly or indirectly, any shares of capital stock of the Company or any securities convertible into or exercisable or exchangeable for shares of capital stock of the Company owned directly by the undersigned (including holding as a custodian) or with respect to which the undersigned has beneficial ownership within the rules and regulations of the Securities and Exchange Commission (the “</w:t>
      </w:r>
      <w:r>
        <w:rPr>
          <w:rFonts w:ascii="Times New Roman" w:hAnsi="Times New Roman"/>
          <w:b/>
          <w:color w:val="000000"/>
          <w:sz w:val="24"/>
        </w:rPr>
        <w:t>Commission</w:t>
      </w:r>
      <w:r>
        <w:rPr>
          <w:rFonts w:ascii="Times New Roman" w:hAnsi="Times New Roman"/>
          <w:color w:val="000000"/>
          <w:sz w:val="24"/>
        </w:rPr>
        <w:t>”) (collectively, the “</w:t>
      </w:r>
      <w:r>
        <w:rPr>
          <w:rFonts w:ascii="Times New Roman" w:hAnsi="Times New Roman"/>
          <w:b/>
          <w:color w:val="000000"/>
          <w:sz w:val="24"/>
        </w:rPr>
        <w:t>Undersigned’s Shares</w:t>
      </w:r>
      <w:r>
        <w:rPr>
          <w:rFonts w:ascii="Times New Roman" w:hAnsi="Times New Roman"/>
          <w:color w:val="000000"/>
          <w:sz w:val="24"/>
        </w:rPr>
        <w:t>”), or (ii) file or cause to be filed any registration statement, including any amendments thereto, with the Commission relating to the offering of any shares of capital stock of the Company or any securities convertible into or exercisable or exchangeable for shares of capital stock of the Company, or (iii) publicly disclose the intention to do any of the foregoing.</w:t>
      </w:r>
    </w:p>
    <w:p>
      <w:pPr>
        <w:pStyle w:val="TextBody"/>
        <w:bidi w:val="0"/>
        <w:spacing w:before="0" w:after="219"/>
        <w:jc w:val="both"/>
        <w:rPr>
          <w:rFonts w:ascii="Times New Roman" w:hAnsi="Times New Roman"/>
          <w:sz w:val="24"/>
        </w:rPr>
      </w:pPr>
      <w:r>
        <w:rPr>
          <w:rFonts w:ascii="Times New Roman" w:hAnsi="Times New Roman"/>
          <w:color w:val="000000"/>
          <w:sz w:val="24"/>
        </w:rPr>
        <w:t xml:space="preserve">Notwithstanding the foregoing, and subject to the conditions below, the undersigned may transfer the Undersigned’s Shares (i) as a </w:t>
      </w:r>
      <w:r>
        <w:rPr>
          <w:rFonts w:ascii="Times New Roman" w:hAnsi="Times New Roman"/>
          <w:i/>
          <w:color w:val="000000"/>
          <w:sz w:val="24"/>
        </w:rPr>
        <w:t>bona fide</w:t>
      </w:r>
      <w:r>
        <w:rPr>
          <w:rFonts w:ascii="Times New Roman" w:hAnsi="Times New Roman"/>
          <w:color w:val="000000"/>
          <w:sz w:val="24"/>
        </w:rPr>
        <w:t xml:space="preserve"> gift or gifts, provided that the donee or donees thereof agree to be bound in writing by the restrictions set forth herein or (ii) to any trust for the direct or indirect benefit of the undersigned or the immediate family of the undersigned, provided that the trustee of the trust agrees to be bound in writing by the restrictions set forth herein, and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19"/>
        <w:jc w:val="both"/>
        <w:rPr>
          <w:rFonts w:ascii="Times New Roman" w:hAnsi="Times New Roman"/>
          <w:sz w:val="24"/>
        </w:rPr>
      </w:pPr>
      <w:r>
        <w:rPr>
          <w:rFonts w:ascii="Times New Roman" w:hAnsi="Times New Roman"/>
          <w:color w:val="000000"/>
          <w:sz w:val="24"/>
        </w:rPr>
        <w:t>provided further that any such transfer shall not involve a disposition for value. For purposes of this Lock-Up Agreement, “immediate family” shall mean any relationship by blood, marriage or adoption, not more remote than first cousin. The undersigned now has, and, except as contemplated by the immediately preceding sentence, for the duration of this Lock-Up Agreement will have, good and marketable title to the Undersigned’s Shares, free and clear of all liens, encumbrances, and claims whatsoever. The undersigned also agrees and consents to the entry of stop transfer instructions with the Company’s transfer agent (the “</w:t>
      </w:r>
      <w:r>
        <w:rPr>
          <w:rFonts w:ascii="Times New Roman" w:hAnsi="Times New Roman"/>
          <w:b/>
          <w:color w:val="000000"/>
          <w:sz w:val="24"/>
        </w:rPr>
        <w:t>Transfer Agent</w:t>
      </w:r>
      <w:r>
        <w:rPr>
          <w:rFonts w:ascii="Times New Roman" w:hAnsi="Times New Roman"/>
          <w:color w:val="000000"/>
          <w:sz w:val="24"/>
        </w:rPr>
        <w:t>”) and registrar against the transfer of the Undersigned’s Shares except in compliance with the foregoing restrictions.</w:t>
      </w:r>
    </w:p>
    <w:p>
      <w:pPr>
        <w:pStyle w:val="TextBody"/>
        <w:bidi w:val="0"/>
        <w:spacing w:before="0" w:after="219"/>
        <w:jc w:val="both"/>
        <w:rPr>
          <w:rFonts w:ascii="Times New Roman" w:hAnsi="Times New Roman"/>
          <w:color w:val="000000"/>
          <w:sz w:val="24"/>
        </w:rPr>
      </w:pPr>
      <w:r>
        <w:rPr>
          <w:rFonts w:ascii="Times New Roman" w:hAnsi="Times New Roman"/>
          <w:color w:val="000000"/>
          <w:sz w:val="24"/>
        </w:rPr>
        <w:t>In addition, notwithstanding the foregoing, the foregoing restrictions shall not apply to (i) the exercise of stock options to purchase shares of Common Stock granted under any employee benefit plan or non-employee director share plan of the Company or (ii) the exercise of warrants; provided, however, that (x) any shares of Common Stock received by the undersigned upon any such exercise shall continue to be subject to the restrictions on transfer set forth in this Lock-Up Agreement and (y) any filing under Section 16(a) of the Securities Exchange Act of 1934, as amended, made during the Lock-Up Period shall clearly indicate in the footnotes thereto that (A) the filing relates to such exercise and (B) no shares were sold by the undersigned.</w:t>
      </w:r>
    </w:p>
    <w:p>
      <w:pPr>
        <w:pStyle w:val="TextBody"/>
        <w:bidi w:val="0"/>
        <w:spacing w:before="0" w:after="219"/>
        <w:jc w:val="both"/>
        <w:rPr>
          <w:rFonts w:ascii="Times New Roman" w:hAnsi="Times New Roman"/>
          <w:color w:val="000000"/>
          <w:sz w:val="24"/>
        </w:rPr>
      </w:pPr>
      <w:r>
        <w:rPr>
          <w:rFonts w:ascii="Times New Roman" w:hAnsi="Times New Roman"/>
          <w:color w:val="000000"/>
          <w:sz w:val="24"/>
        </w:rPr>
        <w:t>In addition, notwithstanding the foregoing, the undersigned may establish a trading plan pursuant to Rule 10b5-1 under the Securities Exchange Act of 1934, as amended, for the transfer of shares of Common Stock, provided that (i) such plan does not provide for the transfer of shares of Common Stock during the Lock-Up Period and (ii) no public report or filing is required or voluntarily made in connection therewith.</w:t>
      </w:r>
    </w:p>
    <w:p>
      <w:pPr>
        <w:pStyle w:val="TextBody"/>
        <w:bidi w:val="0"/>
        <w:spacing w:before="0" w:after="219"/>
        <w:jc w:val="both"/>
        <w:rPr>
          <w:rFonts w:ascii="Times New Roman" w:hAnsi="Times New Roman"/>
          <w:color w:val="000000"/>
          <w:sz w:val="24"/>
        </w:rPr>
      </w:pPr>
      <w:r>
        <w:rPr>
          <w:rFonts w:ascii="Times New Roman" w:hAnsi="Times New Roman"/>
          <w:color w:val="000000"/>
          <w:sz w:val="24"/>
        </w:rPr>
        <w:t>In order to enforce this covenant, the Company shall impose irrevocable stop-transfer instructions preventing the Transfer Agent from effecting any actions in violation of this Lock-Up Agreement.</w:t>
      </w:r>
    </w:p>
    <w:p>
      <w:pPr>
        <w:pStyle w:val="TextBody"/>
        <w:bidi w:val="0"/>
        <w:spacing w:before="0" w:after="219"/>
        <w:jc w:val="both"/>
        <w:rPr>
          <w:rFonts w:ascii="Times New Roman" w:hAnsi="Times New Roman"/>
          <w:color w:val="000000"/>
          <w:sz w:val="24"/>
        </w:rPr>
      </w:pPr>
      <w:r>
        <w:rPr>
          <w:rFonts w:ascii="Times New Roman" w:hAnsi="Times New Roman"/>
          <w:color w:val="000000"/>
          <w:sz w:val="24"/>
        </w:rPr>
        <w:t>The Placement Agent may, in its sole and absolute discretion, consent to an early release from the Lock-Up Period if the market for the Undersigned’s Shares would not be adversely impacted by sales, or in cases of financial emergency of the undersigned.</w:t>
      </w:r>
    </w:p>
    <w:p>
      <w:pPr>
        <w:pStyle w:val="TextBody"/>
        <w:bidi w:val="0"/>
        <w:spacing w:before="0" w:after="219"/>
        <w:jc w:val="both"/>
        <w:rPr>
          <w:rFonts w:ascii="Times New Roman" w:hAnsi="Times New Roman"/>
          <w:color w:val="000000"/>
          <w:sz w:val="24"/>
        </w:rPr>
      </w:pPr>
      <w:r>
        <w:rPr>
          <w:rFonts w:ascii="Times New Roman" w:hAnsi="Times New Roman"/>
          <w:color w:val="000000"/>
          <w:sz w:val="24"/>
        </w:rPr>
        <w:t>If the undersigned is an officer or director of the Company, (i) the undersigned agrees that the foregoing restrictions shall be equally applicable to any shares of Common Stock, and/or warrants to purchase Common Stock, that the undersigned may purchase in the Offering; (ii) the Placement Agent agrees that, at least three (3) business days before the effective date of any release or waiver of the foregoing restrictions in connection with a transfer of Undersigned’s Shares, the Placement Agent will notify the Company of the impending release or waiver; and (iii) the Company shall announce the impending release or waiver by press release through a major news service at least two (2) business days before the effective date of the release or waiver. Any release or waiver granted by the Placement Agent hereunder to any such officer or director shall only be effective two (2) business days after the publication date of such press release. The provisions of this paragraph will not apply if (a) the release or waiver is effected solely to permit a transfer of Undersigned’s Shares not for consideration and (b) the transferee has agreed in writing to be bound by the same terms described in this Lock-Up Agreement to the extent and for the duration that such terms remain in effect at the time of such transfer.</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19"/>
        <w:jc w:val="both"/>
        <w:rPr>
          <w:rFonts w:ascii="Times New Roman" w:hAnsi="Times New Roman"/>
          <w:color w:val="000000"/>
          <w:sz w:val="24"/>
        </w:rPr>
      </w:pPr>
      <w:r>
        <w:rPr>
          <w:rFonts w:ascii="Times New Roman" w:hAnsi="Times New Roman"/>
          <w:color w:val="000000"/>
          <w:sz w:val="24"/>
        </w:rPr>
        <w:t>The undersigned acknowledges that the execution, delivery and performance of this Lock-Up Agreement is a material inducement to the Placement Agent to act as placement agent in the Offering and to the Company to complete the transactions contemplated by the Placement Agency Agreement and that the Company and the Placement Agent shall be entitled to specific performance of the undersigned’s obligations hereunder. The undersigned hereby represents that the undersigned has the power and authority to execute, deliver and perform this Lock-Up Agreement, that the undersigned has received adequate consideration therefor and that the undersigned will indirectly benefit from the closing of the transactions contemplated by the Placement Agency Agreement.</w:t>
      </w:r>
    </w:p>
    <w:p>
      <w:pPr>
        <w:pStyle w:val="TextBody"/>
        <w:bidi w:val="0"/>
        <w:spacing w:before="0" w:after="219"/>
        <w:jc w:val="both"/>
        <w:rPr>
          <w:rFonts w:ascii="Times New Roman" w:hAnsi="Times New Roman"/>
          <w:color w:val="000000"/>
          <w:sz w:val="24"/>
        </w:rPr>
      </w:pPr>
      <w:r>
        <w:rPr>
          <w:rFonts w:ascii="Times New Roman" w:hAnsi="Times New Roman"/>
          <w:color w:val="000000"/>
          <w:sz w:val="24"/>
        </w:rPr>
        <w:t>This Lock-Up Agreement shall automatically terminate upon written notice by either the Placement Agent or the Company to the other that it has determined not to proceed with the Offering, or if the sale of the Company’s securities in the Offering pursuant to the Placement Agency Agreement is not consummated.</w:t>
      </w:r>
    </w:p>
    <w:p>
      <w:pPr>
        <w:pStyle w:val="TextBody"/>
        <w:bidi w:val="0"/>
        <w:spacing w:before="0" w:after="219"/>
        <w:jc w:val="both"/>
        <w:rPr>
          <w:rFonts w:ascii="Times New Roman" w:hAnsi="Times New Roman"/>
          <w:color w:val="000000"/>
          <w:sz w:val="24"/>
        </w:rPr>
      </w:pPr>
      <w:r>
        <w:rPr>
          <w:rFonts w:ascii="Times New Roman" w:hAnsi="Times New Roman"/>
          <w:color w:val="000000"/>
          <w:sz w:val="24"/>
        </w:rPr>
        <w:t>The undersigned understands and agrees that this Lock-Up Agreement is irrevocable and shall be binding upon the undersigned’s heirs, legal representatives, successors, and assigns.</w:t>
      </w:r>
    </w:p>
    <w:p>
      <w:pPr>
        <w:pStyle w:val="TextBody"/>
        <w:bidi w:val="0"/>
        <w:spacing w:before="0" w:after="219"/>
        <w:jc w:val="both"/>
        <w:rPr>
          <w:rFonts w:ascii="Times New Roman" w:hAnsi="Times New Roman"/>
          <w:color w:val="000000"/>
          <w:sz w:val="24"/>
        </w:rPr>
      </w:pPr>
      <w:r>
        <w:rPr>
          <w:rFonts w:ascii="Times New Roman" w:hAnsi="Times New Roman"/>
          <w:color w:val="000000"/>
          <w:sz w:val="24"/>
        </w:rPr>
        <w:t>This Lock-Up Agreement is intended for the benefit of the parties hereto and the Placement Agent and their respective successors and permitted assigns. The Placement Agent shall be an express third-party beneficiary of this Lock-Up Agreement and shall be entitled to enforce the provisions hereof as if it were a party hereto. Except as set forth in the immediately preceding sentence, this Lock-Up Agreement is not for the benefit of, nor may any provisions hereof be enforced by, any other person.</w:t>
      </w:r>
    </w:p>
    <w:p>
      <w:pPr>
        <w:pStyle w:val="TextBody"/>
        <w:bidi w:val="0"/>
        <w:spacing w:before="0" w:after="219"/>
        <w:jc w:val="both"/>
        <w:rPr>
          <w:rFonts w:ascii="Times New Roman" w:hAnsi="Times New Roman"/>
          <w:color w:val="000000"/>
          <w:sz w:val="24"/>
        </w:rPr>
      </w:pPr>
      <w:r>
        <w:rPr>
          <w:rFonts w:ascii="Times New Roman" w:hAnsi="Times New Roman"/>
          <w:color w:val="000000"/>
          <w:sz w:val="24"/>
        </w:rPr>
        <w:t>This Lock-Up Agreement may not be amended or otherwise modified in any respect without the prior written consent of each of the Company, the Placement Agent and the undersigned.</w:t>
      </w:r>
    </w:p>
    <w:p>
      <w:pPr>
        <w:pStyle w:val="TextBody"/>
        <w:bidi w:val="0"/>
        <w:spacing w:before="0" w:after="219"/>
        <w:jc w:val="both"/>
        <w:rPr>
          <w:rFonts w:ascii="Times New Roman" w:hAnsi="Times New Roman"/>
          <w:color w:val="000000"/>
          <w:sz w:val="24"/>
        </w:rPr>
      </w:pPr>
      <w:r>
        <w:rPr>
          <w:rFonts w:ascii="Times New Roman" w:hAnsi="Times New Roman"/>
          <w:color w:val="000000"/>
          <w:sz w:val="24"/>
        </w:rPr>
        <w:t>This Lock-Up Agreement may be executed in two counterparts, each of which shall be deemed an original but both of which shall be considered one and the same instrument.</w:t>
      </w:r>
    </w:p>
    <w:p>
      <w:pPr>
        <w:pStyle w:val="TextBody"/>
        <w:bidi w:val="0"/>
        <w:spacing w:before="0" w:after="219"/>
        <w:jc w:val="both"/>
        <w:rPr>
          <w:rFonts w:ascii="Times New Roman" w:hAnsi="Times New Roman"/>
          <w:color w:val="000000"/>
          <w:sz w:val="24"/>
        </w:rPr>
      </w:pPr>
      <w:r>
        <w:rPr>
          <w:rFonts w:ascii="Times New Roman" w:hAnsi="Times New Roman"/>
          <w:color w:val="000000"/>
          <w:sz w:val="24"/>
        </w:rPr>
        <w:t>This Lock-Up Agreement will be governed by and construed in accordance with the laws of the State of New York, without giving effect to any choice of law or conflicting provision or rule (whether of the State of New York, or any other jurisdiction) that would cause the laws of any jurisdiction other than the State of New York to be applied. In furtherance of the foregoing, the internal laws of the State of New York will control the interpretation and construction of this Lock-Up Agreement, even if under such jurisdiction’s choice of law or conflict of law analysis, the substantive law of some other jurisdiction would ordinarily apply.</w:t>
      </w:r>
    </w:p>
    <w:p>
      <w:pPr>
        <w:pStyle w:val="TextBody"/>
        <w:bidi w:val="0"/>
        <w:spacing w:before="0" w:after="219"/>
        <w:jc w:val="center"/>
        <w:rPr>
          <w:rFonts w:ascii="Times New Roman" w:hAnsi="Times New Roman"/>
          <w:i/>
          <w:color w:val="000000"/>
          <w:sz w:val="24"/>
        </w:rPr>
      </w:pPr>
      <w:r>
        <w:rPr>
          <w:rFonts w:ascii="Times New Roman" w:hAnsi="Times New Roman"/>
          <w:i/>
          <w:color w:val="000000"/>
          <w:sz w:val="24"/>
        </w:rPr>
        <w:t>[Remainder of page intentionally left blank]</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jc w:val="left"/>
        <w:rPr/>
      </w:pPr>
      <w:r>
        <w:rPr/>
        <w:t> </w:t>
      </w:r>
    </w:p>
    <w:p>
      <w:pPr>
        <w:pStyle w:val="TextBody"/>
        <w:bidi w:val="0"/>
        <w:spacing w:before="0" w:after="219"/>
        <w:jc w:val="both"/>
        <w:rPr>
          <w:rFonts w:ascii="Times New Roman" w:hAnsi="Times New Roman"/>
          <w:color w:val="000000"/>
          <w:sz w:val="24"/>
        </w:rPr>
      </w:pPr>
      <w:r>
        <w:rPr>
          <w:rFonts w:ascii="Times New Roman" w:hAnsi="Times New Roman"/>
          <w:color w:val="000000"/>
          <w:sz w:val="24"/>
        </w:rPr>
        <w:t>Very truly yours,</w:t>
      </w:r>
    </w:p>
    <w:p>
      <w:pPr>
        <w:pStyle w:val="TextBody"/>
        <w:bidi w:val="0"/>
        <w:spacing w:before="0" w:after="219"/>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w:t>
      </w:r>
    </w:p>
    <w:p>
      <w:pPr>
        <w:pStyle w:val="TextBody"/>
        <w:bidi w:val="0"/>
        <w:spacing w:before="0" w:after="219"/>
        <w:jc w:val="both"/>
        <w:rPr>
          <w:rFonts w:ascii="Times New Roman" w:hAnsi="Times New Roman"/>
          <w:color w:val="000000"/>
          <w:sz w:val="24"/>
        </w:rPr>
      </w:pPr>
      <w:r>
        <w:rPr>
          <w:rFonts w:ascii="Times New Roman" w:hAnsi="Times New Roman"/>
          <w:color w:val="000000"/>
          <w:sz w:val="24"/>
        </w:rPr>
        <w:t>Exact Name of Shareholder</w:t>
      </w:r>
    </w:p>
    <w:p>
      <w:pPr>
        <w:pStyle w:val="TextBody"/>
        <w:bidi w:val="0"/>
        <w:spacing w:before="0" w:after="219"/>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w:t>
      </w:r>
    </w:p>
    <w:p>
      <w:pPr>
        <w:pStyle w:val="TextBody"/>
        <w:bidi w:val="0"/>
        <w:spacing w:before="0" w:after="219"/>
        <w:jc w:val="both"/>
        <w:rPr>
          <w:rFonts w:ascii="Times New Roman" w:hAnsi="Times New Roman"/>
          <w:color w:val="000000"/>
          <w:sz w:val="24"/>
        </w:rPr>
      </w:pPr>
      <w:r>
        <w:rPr>
          <w:rFonts w:ascii="Times New Roman" w:hAnsi="Times New Roman"/>
          <w:color w:val="000000"/>
          <w:sz w:val="24"/>
        </w:rPr>
        <w:t>Authorized Signature</w:t>
      </w:r>
    </w:p>
    <w:p>
      <w:pPr>
        <w:pStyle w:val="TextBody"/>
        <w:bidi w:val="0"/>
        <w:spacing w:before="0" w:after="219"/>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Title</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Agreed to and Acknowledged:</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ALAUNOS THERAPEUTICS, INC.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By: _______________________</w:t>
      </w:r>
    </w:p>
    <w:p>
      <w:pPr>
        <w:pStyle w:val="TextBody"/>
        <w:bidi w:val="0"/>
        <w:jc w:val="both"/>
        <w:rPr>
          <w:rFonts w:ascii="Times New Roman" w:hAnsi="Times New Roman"/>
          <w:color w:val="000000"/>
          <w:sz w:val="24"/>
        </w:rPr>
      </w:pPr>
      <w:r>
        <w:rPr>
          <w:rFonts w:ascii="Times New Roman" w:hAnsi="Times New Roman"/>
          <w:color w:val="000000"/>
          <w:sz w:val="24"/>
        </w:rPr>
        <w:t xml:space="preserve">Name: </w:t>
      </w:r>
    </w:p>
    <w:p>
      <w:pPr>
        <w:pStyle w:val="TextBody"/>
        <w:bidi w:val="0"/>
        <w:jc w:val="both"/>
        <w:rPr>
          <w:rFonts w:ascii="Times New Roman" w:hAnsi="Times New Roman"/>
          <w:color w:val="000000"/>
          <w:sz w:val="24"/>
        </w:rPr>
      </w:pPr>
      <w:r>
        <w:rPr>
          <w:rFonts w:ascii="Times New Roman" w:hAnsi="Times New Roman"/>
          <w:color w:val="000000"/>
          <w:sz w:val="24"/>
        </w:rPr>
        <w:t>Title:</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363636"/>
          <w:sz w:val="34"/>
        </w:rPr>
      </w:pPr>
      <w:bookmarkStart w:id="12" w:name="tcrt-ex99_1.htm"/>
      <w:bookmarkStart w:id="13" w:name="kstcrtex99_1"/>
      <w:bookmarkEnd w:id="12"/>
      <w:bookmarkEnd w:id="13"/>
      <w:r>
        <w:rPr>
          <w:rFonts w:ascii="Arial" w:hAnsi="Arial"/>
          <w:b/>
          <w:color w:val="363636"/>
          <w:sz w:val="34"/>
        </w:rPr>
        <w:t>Alaunos Therapeutics, Inc. Announces Pricing of Registered Direct Offering priced at-the-market under Nasdaq rules</w:t>
      </w:r>
      <w:r>
        <w:br w:type="page"/>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FORT LAUDERDALE, Fla., Sept. 18, 2026 (GLOBE NEWSWIRE) -- Alaunos Therapeutics, Inc. (Nasdaq: TCRT) today announced that it has entered into definitive agreements with institutional investors in a registered direct offering for the sale of 380,469 shares of its common stock and pre-funded warrants to purchase up to 386,654 shares of common stock at a price of $1.46 per share, for aggregate gross proceeds of approximately $1,120,000, before deducting placement agent fees and offering expenses. The offering was priced at-the-market under Nasdaq rules. The offering is expected to close on or about September 21, 2026, subject to the satisfaction of customary closing conditions.</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The Company intends to use the net proceeds from the offering primarily for general working capital and corporate purposes.</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Dawson James Securities, Inc. is acting as sole placement agent for the offering.</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The securities will be offered and sold pursuant to an effective shelf registration statement on Form S-3 (File No. 333-289748), including a base prospectus, initially filed with the U.S. Securities and Exchange Commission (the “SEC”) on November 11, 2025 and became effective on December 1, 2025. The offering will be made only by means of a written prospectus. A prospectus supplement and accompanying prospectus describing the terms of the offering will be filed with the SEC on its website at www.sec.gov. Copies of the prospectus supplement and the accompanying prospectus relating to the offering may also be obtained, when available, from the offices of Dawson James Securities, Inc. 2700 N Military Trail, Suite 100, Boca Raton, FL, 33431 or by email at investmentbanking@dawsonjames.com.</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Interested parties should read in their entirety the prospectus supplement and the accompanying prospectus and the other documents that the Company has filed with the SEC that are incorporated by reference in such prospectus supplement and the accompanying prospectus, which provide more information about the Company and such offering.</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This press release shall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About Alaunos Therapeutics</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Alaunos Therapeutics is a biotechnology company focused on developing novel therapeutics. The Company’s obesity and metabolic disorders program is advancing ALN1003, an oral small-molecule candidate being evaluated as a potential differentiated, non-hormonal, non-incretin approach for obesity- and metabolic-disease-relevant biology.</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Forward-Looking Statements</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 xml:space="preserve">This press release may include "forward-looking statements" pursuant to the "safe harbor" provisions of the U.S. Private Securities Litigation Reform Act of 1995. To the extent that the information presented in this press release discusses financial projections, information, or expectations about our business plans, results of operations, products, or markets, or otherwise makes statements about future events, such statements are forward-looking. Such forward-looking statements can be identified by the use of words such as "should", "may," "intends," "anticipates," "believes," "estimates," "projects," "forecasts," "expects," "plans," and "proposes." Although we believe that the expectations reflected in these forward-looking statements are based on reasonable assumptions, there are a number of risks and uncertainties that could cause actual results to differ materially from such forward-looking statements. You are urged to carefully review and consider any cautionary statements and other disclosures, including the statements made under the heading "Risk Factors" and elsewhere in documents that we file from time to time with the SEC. Forward-looking statements speak only as of the date of the document in which they are contained, and Alaunos Therapeutics, Inc., does not undertake any duty to </w:t>
      </w:r>
    </w:p>
    <w:p>
      <w:pPr>
        <w:pStyle w:val="HorizontalLine"/>
        <w:pBdr>
          <w:bottom w:val="double" w:sz="2" w:space="0" w:color="808080"/>
        </w:pBdr>
        <w:bidi w:val="0"/>
        <w:spacing w:before="0" w:after="283"/>
        <w:jc w:val="left"/>
        <w:rPr/>
      </w:pPr>
      <w:r>
        <w:rPr/>
      </w:r>
    </w:p>
    <w:p>
      <w:pPr>
        <w:pStyle w:val="TextBody"/>
        <w:bidi w:val="0"/>
        <w:jc w:val="both"/>
        <w:rPr>
          <w:rFonts w:ascii="Arial" w:hAnsi="Arial"/>
          <w:color w:val="000000"/>
          <w:sz w:val="22"/>
        </w:rPr>
      </w:pPr>
      <w:r>
        <w:rPr>
          <w:rFonts w:ascii="Arial" w:hAnsi="Arial"/>
          <w:color w:val="000000"/>
          <w:sz w:val="22"/>
        </w:rPr>
        <w:t>update any forward-looking statements except as may be required by law.</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Investor / Media Contact</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ir@alaunos.com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52552</Words>
  <Characters>279457</Characters>
  <CharactersWithSpaces>331377</CharactersWithSpaces>
  <Paragraphs>1101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