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Postma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49"/>
        <w:gridCol w:w="930"/>
        <w:gridCol w:w="800"/>
        <w:gridCol w:w="617"/>
        <w:gridCol w:w="339"/>
        <w:gridCol w:w="957"/>
        <w:gridCol w:w="410"/>
        <w:gridCol w:w="852"/>
        <w:gridCol w:w="1101"/>
        <w:gridCol w:w="957"/>
        <w:gridCol w:w="13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0.7444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80,438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</w:t>
            </w:r>
          </w:p>
        </w:tc>
      </w:tr>
      <w:tr>
        <w:trPr/>
        <w:tc>
          <w:tcPr>
            <w:tcW w:w="18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WaterMill Asset Management Corp.(2)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directly held by WaterMill Asset Management Corp. ("WaterMill"). The Reporting Person serves as the principal of WaterMill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Postma Robert 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847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3311</Characters>
  <CharactersWithSpaces>3847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